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15FA" w:rsidRDefault="00A115FA" w:rsidP="00A115FA">
      <w:pPr>
        <w:ind w:firstLine="720"/>
        <w:jc w:val="center"/>
        <w:rPr>
          <w:rFonts w:ascii="Times New Roman" w:hAnsi="Times New Roman" w:cs="Times New Roman"/>
          <w:sz w:val="32"/>
          <w:szCs w:val="32"/>
        </w:rPr>
      </w:pPr>
      <w:bookmarkStart w:id="0" w:name="bookmark2"/>
      <w:bookmarkStart w:id="1" w:name="bookmark3"/>
      <w:r>
        <w:rPr>
          <w:rFonts w:ascii="Times New Roman" w:hAnsi="Times New Roman" w:cs="Times New Roman"/>
          <w:sz w:val="32"/>
          <w:szCs w:val="32"/>
        </w:rPr>
        <w:t>IZTLEUOV G.M.</w:t>
      </w:r>
      <w:proofErr w:type="gramStart"/>
      <w:r>
        <w:rPr>
          <w:rFonts w:ascii="Times New Roman" w:hAnsi="Times New Roman" w:cs="Times New Roman"/>
          <w:sz w:val="32"/>
          <w:szCs w:val="32"/>
        </w:rPr>
        <w:t>,TUREBEKOVA</w:t>
      </w:r>
      <w:proofErr w:type="gramEnd"/>
      <w:r>
        <w:rPr>
          <w:rFonts w:ascii="Times New Roman" w:hAnsi="Times New Roman" w:cs="Times New Roman"/>
          <w:sz w:val="32"/>
          <w:szCs w:val="32"/>
        </w:rPr>
        <w:t xml:space="preserve"> G.</w:t>
      </w:r>
    </w:p>
    <w:p w:rsidR="00A115FA"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r>
        <w:rPr>
          <w:rFonts w:ascii="Times New Roman" w:hAnsi="Times New Roman" w:cs="Times New Roman"/>
          <w:sz w:val="32"/>
          <w:szCs w:val="32"/>
        </w:rPr>
        <w:t xml:space="preserve"> </w:t>
      </w: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rPr>
      </w:pPr>
    </w:p>
    <w:p w:rsidR="00A115FA" w:rsidRPr="00A40DF1" w:rsidRDefault="00A115FA" w:rsidP="00A115FA">
      <w:pPr>
        <w:ind w:firstLine="720"/>
        <w:jc w:val="center"/>
        <w:rPr>
          <w:rFonts w:ascii="Times New Roman" w:hAnsi="Times New Roman" w:cs="Times New Roman"/>
          <w:b/>
          <w:bCs/>
          <w:snapToGrid w:val="0"/>
          <w:spacing w:val="2"/>
          <w:sz w:val="48"/>
          <w:szCs w:val="48"/>
        </w:rPr>
      </w:pPr>
      <w:r>
        <w:rPr>
          <w:rFonts w:ascii="Times New Roman" w:hAnsi="Times New Roman" w:cs="Times New Roman"/>
          <w:b/>
          <w:sz w:val="48"/>
          <w:szCs w:val="48"/>
          <w:lang w:val="kk-KZ"/>
        </w:rPr>
        <w:t xml:space="preserve">INDUSTRIAL ECOLOGY    </w:t>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jc w:val="center"/>
        <w:rPr>
          <w:rFonts w:ascii="Times New Roman" w:hAnsi="Times New Roman" w:cs="Times New Roman"/>
          <w:sz w:val="32"/>
          <w:szCs w:val="32"/>
          <w:lang w:val="en-GB"/>
        </w:rPr>
      </w:pPr>
      <w:r>
        <w:rPr>
          <w:rFonts w:ascii="Times New Roman" w:hAnsi="Times New Roman" w:cs="Times New Roman"/>
          <w:sz w:val="32"/>
          <w:szCs w:val="32"/>
          <w:lang w:val="en-GB"/>
        </w:rPr>
        <w:t>TRAINING MANUAL</w:t>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8872CD" w:rsidP="00A115FA">
      <w:pPr>
        <w:jc w:val="center"/>
        <w:rPr>
          <w:rFonts w:ascii="Times New Roman" w:hAnsi="Times New Roman" w:cs="Times New Roman"/>
          <w:sz w:val="32"/>
          <w:szCs w:val="32"/>
          <w:lang w:val="en-GB"/>
        </w:rPr>
      </w:pPr>
      <w:r>
        <w:rPr>
          <w:noProof/>
          <w:lang w:val="ru-RU" w:eastAsia="ru-RU" w:bidi="ar-SA"/>
        </w:rPr>
        <w:drawing>
          <wp:inline distT="0" distB="0" distL="0" distR="0">
            <wp:extent cx="5186045" cy="3739515"/>
            <wp:effectExtent l="0" t="0" r="0" b="0"/>
            <wp:docPr id="64" name="Рисунок 1" descr="Industrial plastic waste treatment in need for new measures | Exapro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ndustrial plastic waste treatment in need for new measures | Exapro Blo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86045" cy="3739515"/>
                    </a:xfrm>
                    <a:prstGeom prst="rect">
                      <a:avLst/>
                    </a:prstGeom>
                    <a:noFill/>
                    <a:ln>
                      <a:noFill/>
                    </a:ln>
                  </pic:spPr>
                </pic:pic>
              </a:graphicData>
            </a:graphic>
          </wp:inline>
        </w:drawing>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kk-KZ"/>
        </w:rPr>
      </w:pPr>
      <w:r>
        <w:rPr>
          <w:rFonts w:ascii="Times New Roman" w:hAnsi="Times New Roman" w:cs="Times New Roman"/>
          <w:sz w:val="32"/>
          <w:szCs w:val="32"/>
          <w:lang w:val="en-GB"/>
        </w:rPr>
        <w:t>Shymkent</w:t>
      </w:r>
      <w:r w:rsidRPr="00F20184">
        <w:rPr>
          <w:rFonts w:ascii="Times New Roman" w:hAnsi="Times New Roman" w:cs="Times New Roman"/>
          <w:sz w:val="32"/>
          <w:szCs w:val="32"/>
          <w:lang w:val="en-GB"/>
        </w:rPr>
        <w:t xml:space="preserve">, </w:t>
      </w:r>
      <w:r>
        <w:rPr>
          <w:rFonts w:ascii="Times New Roman" w:hAnsi="Times New Roman" w:cs="Times New Roman"/>
          <w:sz w:val="32"/>
          <w:szCs w:val="32"/>
          <w:lang w:val="en-GB"/>
        </w:rPr>
        <w:t>2023</w:t>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bookmarkStart w:id="2" w:name="_GoBack"/>
      <w:bookmarkEnd w:id="2"/>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kk-KZ"/>
        </w:rPr>
      </w:pPr>
    </w:p>
    <w:p w:rsidR="00A115FA" w:rsidRPr="00233D2C" w:rsidRDefault="00A115FA" w:rsidP="00A115FA">
      <w:pPr>
        <w:ind w:firstLine="720"/>
        <w:jc w:val="center"/>
        <w:rPr>
          <w:rFonts w:ascii="Times New Roman" w:hAnsi="Times New Roman" w:cs="Times New Roman"/>
          <w:sz w:val="32"/>
          <w:szCs w:val="32"/>
          <w:lang w:val="kk-KZ"/>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6376E4" w:rsidRDefault="00A115FA" w:rsidP="00A115FA">
      <w:pPr>
        <w:ind w:firstLine="720"/>
        <w:jc w:val="center"/>
        <w:rPr>
          <w:rFonts w:ascii="Times New Roman" w:hAnsi="Times New Roman" w:cs="Times New Roman"/>
          <w:sz w:val="32"/>
          <w:szCs w:val="32"/>
        </w:rPr>
      </w:pPr>
    </w:p>
    <w:p w:rsidR="00A115FA" w:rsidRPr="006376E4" w:rsidRDefault="00A115FA" w:rsidP="00A115FA">
      <w:pPr>
        <w:ind w:firstLine="720"/>
        <w:jc w:val="center"/>
        <w:rPr>
          <w:rFonts w:ascii="Times New Roman" w:hAnsi="Times New Roman" w:cs="Times New Roman"/>
          <w:sz w:val="32"/>
          <w:szCs w:val="32"/>
        </w:rPr>
      </w:pPr>
    </w:p>
    <w:p w:rsidR="00A115FA" w:rsidRPr="006376E4" w:rsidRDefault="00A115FA" w:rsidP="00A115FA">
      <w:pPr>
        <w:ind w:firstLine="720"/>
        <w:jc w:val="center"/>
        <w:rPr>
          <w:rFonts w:ascii="Times New Roman" w:hAnsi="Times New Roman" w:cs="Times New Roman"/>
          <w:sz w:val="32"/>
          <w:szCs w:val="32"/>
        </w:rPr>
      </w:pPr>
    </w:p>
    <w:p w:rsidR="00A115FA" w:rsidRPr="006376E4" w:rsidRDefault="00A115FA" w:rsidP="00A115FA">
      <w:pPr>
        <w:ind w:firstLine="720"/>
        <w:jc w:val="center"/>
        <w:rPr>
          <w:rFonts w:ascii="Times New Roman" w:hAnsi="Times New Roman" w:cs="Times New Roman"/>
          <w:sz w:val="32"/>
          <w:szCs w:val="32"/>
        </w:rPr>
      </w:pPr>
    </w:p>
    <w:p w:rsidR="00A115FA"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6E7535" w:rsidRPr="006E7535" w:rsidRDefault="006E7535" w:rsidP="006E7535">
      <w:pPr>
        <w:jc w:val="center"/>
        <w:rPr>
          <w:rFonts w:ascii="Times New Roman" w:eastAsia="SimSun" w:hAnsi="Times New Roman"/>
          <w:b/>
          <w:caps/>
          <w:sz w:val="32"/>
          <w:szCs w:val="32"/>
        </w:rPr>
      </w:pPr>
      <w:r w:rsidRPr="006E7535">
        <w:rPr>
          <w:rFonts w:ascii="Times New Roman" w:eastAsia="SimSun" w:hAnsi="Times New Roman"/>
          <w:b/>
          <w:caps/>
          <w:sz w:val="32"/>
          <w:szCs w:val="32"/>
        </w:rPr>
        <w:lastRenderedPageBreak/>
        <w:t>MINISTRY OF Science and Higher Education OF THE REPUBLIC OF KAZAKHSTAN</w:t>
      </w:r>
    </w:p>
    <w:p w:rsidR="00A115FA" w:rsidRPr="006E7535" w:rsidRDefault="00A115FA" w:rsidP="00A115FA">
      <w:pPr>
        <w:ind w:firstLine="720"/>
        <w:jc w:val="center"/>
        <w:rPr>
          <w:rFonts w:ascii="Times New Roman" w:hAnsi="Times New Roman" w:cs="Times New Roman"/>
          <w:sz w:val="32"/>
          <w:szCs w:val="32"/>
        </w:rPr>
      </w:pPr>
    </w:p>
    <w:p w:rsidR="00A115FA" w:rsidRPr="0040676E" w:rsidRDefault="00A115FA" w:rsidP="00A115FA">
      <w:pPr>
        <w:ind w:firstLine="720"/>
        <w:jc w:val="center"/>
        <w:rPr>
          <w:rFonts w:ascii="Times New Roman" w:hAnsi="Times New Roman" w:cs="Times New Roman"/>
          <w:b/>
          <w:sz w:val="32"/>
          <w:szCs w:val="32"/>
        </w:rPr>
      </w:pPr>
      <w:r>
        <w:rPr>
          <w:rFonts w:ascii="Times New Roman" w:hAnsi="Times New Roman" w:cs="Times New Roman"/>
          <w:b/>
          <w:sz w:val="32"/>
          <w:szCs w:val="32"/>
        </w:rPr>
        <w:t xml:space="preserve">M.AUEZOV SOUTH </w:t>
      </w:r>
      <w:proofErr w:type="gramStart"/>
      <w:r>
        <w:rPr>
          <w:rFonts w:ascii="Times New Roman" w:hAnsi="Times New Roman" w:cs="Times New Roman"/>
          <w:b/>
          <w:sz w:val="32"/>
          <w:szCs w:val="32"/>
        </w:rPr>
        <w:t>KAZAKSTAN  UNIVERSITY</w:t>
      </w:r>
      <w:proofErr w:type="gramEnd"/>
      <w:r>
        <w:rPr>
          <w:rFonts w:ascii="Times New Roman" w:hAnsi="Times New Roman" w:cs="Times New Roman"/>
          <w:b/>
          <w:sz w:val="32"/>
          <w:szCs w:val="32"/>
        </w:rPr>
        <w:t xml:space="preserve"> </w:t>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ru-RU"/>
        </w:rPr>
      </w:pPr>
      <w:r>
        <w:rPr>
          <w:rFonts w:ascii="Times New Roman" w:hAnsi="Times New Roman" w:cs="Times New Roman"/>
          <w:sz w:val="32"/>
          <w:szCs w:val="32"/>
        </w:rPr>
        <w:t>IZTLEUOV G.M.</w:t>
      </w:r>
      <w:proofErr w:type="gramStart"/>
      <w:r>
        <w:rPr>
          <w:rFonts w:ascii="Times New Roman" w:hAnsi="Times New Roman" w:cs="Times New Roman"/>
          <w:sz w:val="32"/>
          <w:szCs w:val="32"/>
        </w:rPr>
        <w:t>,TUREBEKOVA</w:t>
      </w:r>
      <w:proofErr w:type="gramEnd"/>
      <w:r>
        <w:rPr>
          <w:rFonts w:ascii="Times New Roman" w:hAnsi="Times New Roman" w:cs="Times New Roman"/>
          <w:sz w:val="32"/>
          <w:szCs w:val="32"/>
        </w:rPr>
        <w:t xml:space="preserve"> G</w:t>
      </w:r>
    </w:p>
    <w:p w:rsidR="006376E4" w:rsidRPr="006376E4" w:rsidRDefault="006376E4" w:rsidP="00A115FA">
      <w:pPr>
        <w:ind w:firstLine="720"/>
        <w:jc w:val="center"/>
        <w:rPr>
          <w:rFonts w:ascii="Times New Roman" w:hAnsi="Times New Roman" w:cs="Times New Roman"/>
          <w:sz w:val="32"/>
          <w:szCs w:val="32"/>
          <w:lang w:val="ru-RU"/>
        </w:rPr>
      </w:pPr>
    </w:p>
    <w:p w:rsidR="00A115FA" w:rsidRDefault="00A115FA" w:rsidP="00A115FA">
      <w:pPr>
        <w:ind w:firstLine="720"/>
        <w:jc w:val="center"/>
        <w:rPr>
          <w:rFonts w:ascii="Times New Roman" w:hAnsi="Times New Roman" w:cs="Times New Roman"/>
          <w:sz w:val="32"/>
          <w:szCs w:val="32"/>
        </w:rPr>
      </w:pPr>
    </w:p>
    <w:p w:rsidR="00A115FA" w:rsidRPr="0040676E"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A40DF1" w:rsidRDefault="00A115FA" w:rsidP="00A115FA">
      <w:pPr>
        <w:ind w:firstLine="720"/>
        <w:jc w:val="center"/>
        <w:rPr>
          <w:rFonts w:ascii="Times New Roman" w:hAnsi="Times New Roman" w:cs="Times New Roman"/>
          <w:b/>
          <w:bCs/>
          <w:snapToGrid w:val="0"/>
          <w:spacing w:val="2"/>
          <w:sz w:val="48"/>
          <w:szCs w:val="48"/>
        </w:rPr>
      </w:pPr>
      <w:r>
        <w:rPr>
          <w:rFonts w:ascii="Times New Roman" w:hAnsi="Times New Roman" w:cs="Times New Roman"/>
          <w:b/>
          <w:sz w:val="48"/>
          <w:szCs w:val="48"/>
          <w:lang w:val="kk-KZ"/>
        </w:rPr>
        <w:t xml:space="preserve">INDUSTRIAL ECOLOGY    </w:t>
      </w:r>
    </w:p>
    <w:p w:rsidR="00A115FA" w:rsidRPr="00A521E9" w:rsidRDefault="00A115FA" w:rsidP="00A115FA">
      <w:pPr>
        <w:ind w:firstLine="720"/>
        <w:jc w:val="center"/>
        <w:rPr>
          <w:rFonts w:ascii="Times New Roman" w:hAnsi="Times New Roman" w:cs="Times New Roman"/>
          <w:b/>
          <w:bCs/>
          <w:snapToGrid w:val="0"/>
          <w:spacing w:val="2"/>
          <w:sz w:val="32"/>
          <w:szCs w:val="32"/>
        </w:rPr>
      </w:pPr>
      <w:r w:rsidRPr="00A521E9">
        <w:rPr>
          <w:rFonts w:ascii="Times New Roman" w:hAnsi="Times New Roman" w:cs="Times New Roman"/>
          <w:b/>
          <w:bCs/>
          <w:snapToGrid w:val="0"/>
          <w:spacing w:val="2"/>
          <w:sz w:val="32"/>
          <w:szCs w:val="32"/>
        </w:rPr>
        <w:t xml:space="preserve"> </w:t>
      </w:r>
    </w:p>
    <w:p w:rsidR="00A115FA" w:rsidRPr="00A521E9" w:rsidRDefault="00A115FA" w:rsidP="00A115FA">
      <w:pPr>
        <w:ind w:firstLine="720"/>
        <w:jc w:val="center"/>
        <w:rPr>
          <w:rFonts w:ascii="Times New Roman" w:hAnsi="Times New Roman" w:cs="Times New Roman"/>
          <w:sz w:val="32"/>
          <w:szCs w:val="32"/>
        </w:rPr>
      </w:pPr>
    </w:p>
    <w:p w:rsidR="00A115FA" w:rsidRPr="00F20184" w:rsidRDefault="00A115FA" w:rsidP="00A115FA">
      <w:pPr>
        <w:jc w:val="center"/>
        <w:rPr>
          <w:rFonts w:ascii="Times New Roman" w:hAnsi="Times New Roman" w:cs="Times New Roman"/>
          <w:sz w:val="32"/>
          <w:szCs w:val="32"/>
          <w:lang w:val="en-GB"/>
        </w:rPr>
      </w:pPr>
      <w:r>
        <w:rPr>
          <w:rFonts w:ascii="Times New Roman" w:hAnsi="Times New Roman" w:cs="Times New Roman"/>
          <w:sz w:val="32"/>
          <w:szCs w:val="32"/>
          <w:lang w:val="en-GB"/>
        </w:rPr>
        <w:t>TRAINING MANUAL</w:t>
      </w: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321621" w:rsidRDefault="00A115FA" w:rsidP="00A115FA">
      <w:pPr>
        <w:ind w:firstLine="720"/>
        <w:jc w:val="center"/>
        <w:rPr>
          <w:rFonts w:ascii="Times New Roman" w:hAnsi="Times New Roman" w:cs="Times New Roman"/>
          <w:sz w:val="32"/>
          <w:szCs w:val="32"/>
        </w:rPr>
      </w:pPr>
      <w:r w:rsidRPr="00321621">
        <w:rPr>
          <w:rFonts w:ascii="Times New Roman" w:hAnsi="Times New Roman" w:cs="Times New Roman"/>
          <w:sz w:val="32"/>
          <w:szCs w:val="32"/>
        </w:rPr>
        <w:t xml:space="preserve">For </w:t>
      </w:r>
      <w:r>
        <w:rPr>
          <w:rFonts w:ascii="Times New Roman" w:hAnsi="Times New Roman" w:cs="Times New Roman"/>
          <w:sz w:val="32"/>
          <w:szCs w:val="32"/>
        </w:rPr>
        <w:t>students</w:t>
      </w:r>
      <w:r w:rsidRPr="00321621">
        <w:rPr>
          <w:rFonts w:ascii="Times New Roman" w:hAnsi="Times New Roman" w:cs="Times New Roman"/>
          <w:sz w:val="32"/>
          <w:szCs w:val="32"/>
        </w:rPr>
        <w:t xml:space="preserve"> of </w:t>
      </w:r>
      <w:proofErr w:type="gramStart"/>
      <w:r w:rsidRPr="00321621">
        <w:rPr>
          <w:rFonts w:ascii="Times New Roman" w:hAnsi="Times New Roman" w:cs="Times New Roman"/>
          <w:sz w:val="32"/>
          <w:szCs w:val="32"/>
        </w:rPr>
        <w:t>a</w:t>
      </w:r>
      <w:proofErr w:type="gramEnd"/>
      <w:r w:rsidRPr="00321621">
        <w:rPr>
          <w:rFonts w:ascii="Times New Roman" w:hAnsi="Times New Roman" w:cs="Times New Roman"/>
          <w:sz w:val="32"/>
          <w:szCs w:val="32"/>
        </w:rPr>
        <w:t xml:space="preserve"> educational programm "6B05210-Ecology" and «6B060-Chemical Engineering and Processes".</w:t>
      </w:r>
    </w:p>
    <w:p w:rsidR="00A115FA" w:rsidRPr="00576B14" w:rsidRDefault="00A115FA" w:rsidP="00A115FA">
      <w:pPr>
        <w:ind w:firstLine="720"/>
        <w:jc w:val="center"/>
        <w:rPr>
          <w:rFonts w:ascii="Times New Roman" w:hAnsi="Times New Roman" w:cs="Times New Roman"/>
          <w:sz w:val="32"/>
          <w:szCs w:val="32"/>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Pr="006376E4" w:rsidRDefault="00A115FA" w:rsidP="00A115FA">
      <w:pPr>
        <w:ind w:firstLine="720"/>
        <w:jc w:val="center"/>
        <w:rPr>
          <w:rFonts w:ascii="Times New Roman" w:hAnsi="Times New Roman" w:cs="Times New Roman"/>
          <w:sz w:val="32"/>
          <w:szCs w:val="32"/>
        </w:rPr>
      </w:pPr>
    </w:p>
    <w:p w:rsidR="00A115FA" w:rsidRPr="006376E4" w:rsidRDefault="00A115FA" w:rsidP="00A115FA">
      <w:pPr>
        <w:ind w:firstLine="720"/>
        <w:jc w:val="center"/>
        <w:rPr>
          <w:rFonts w:ascii="Times New Roman" w:hAnsi="Times New Roman" w:cs="Times New Roman"/>
          <w:sz w:val="32"/>
          <w:szCs w:val="32"/>
        </w:rPr>
      </w:pPr>
    </w:p>
    <w:p w:rsidR="00A115FA" w:rsidRPr="006376E4" w:rsidRDefault="00A115FA" w:rsidP="00A115FA">
      <w:pPr>
        <w:ind w:firstLine="720"/>
        <w:jc w:val="center"/>
        <w:rPr>
          <w:rFonts w:ascii="Times New Roman" w:hAnsi="Times New Roman" w:cs="Times New Roman"/>
          <w:sz w:val="32"/>
          <w:szCs w:val="32"/>
        </w:rPr>
      </w:pPr>
    </w:p>
    <w:p w:rsidR="00A115FA"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en-GB"/>
        </w:rPr>
      </w:pPr>
    </w:p>
    <w:p w:rsidR="00A115FA" w:rsidRPr="00F20184" w:rsidRDefault="00A115FA" w:rsidP="00A115FA">
      <w:pPr>
        <w:ind w:firstLine="720"/>
        <w:jc w:val="center"/>
        <w:rPr>
          <w:rFonts w:ascii="Times New Roman" w:hAnsi="Times New Roman" w:cs="Times New Roman"/>
          <w:sz w:val="32"/>
          <w:szCs w:val="32"/>
          <w:lang w:val="kk-KZ"/>
        </w:rPr>
      </w:pPr>
      <w:r>
        <w:rPr>
          <w:rFonts w:ascii="Times New Roman" w:hAnsi="Times New Roman" w:cs="Times New Roman"/>
          <w:sz w:val="32"/>
          <w:szCs w:val="32"/>
          <w:lang w:val="en-GB"/>
        </w:rPr>
        <w:t>Shymkent</w:t>
      </w:r>
      <w:r w:rsidRPr="00F20184">
        <w:rPr>
          <w:rFonts w:ascii="Times New Roman" w:hAnsi="Times New Roman" w:cs="Times New Roman"/>
          <w:sz w:val="32"/>
          <w:szCs w:val="32"/>
          <w:lang w:val="en-GB"/>
        </w:rPr>
        <w:t xml:space="preserve">, </w:t>
      </w:r>
      <w:r>
        <w:rPr>
          <w:rFonts w:ascii="Times New Roman" w:hAnsi="Times New Roman" w:cs="Times New Roman"/>
          <w:sz w:val="32"/>
          <w:szCs w:val="32"/>
          <w:lang w:val="en-GB"/>
        </w:rPr>
        <w:t>2023</w:t>
      </w:r>
    </w:p>
    <w:p w:rsidR="00A115FA" w:rsidRPr="00F20184" w:rsidRDefault="00A115FA" w:rsidP="00A115FA">
      <w:pPr>
        <w:ind w:firstLine="720"/>
        <w:rPr>
          <w:rFonts w:ascii="Times New Roman" w:hAnsi="Times New Roman" w:cs="Times New Roman"/>
          <w:sz w:val="32"/>
          <w:szCs w:val="32"/>
          <w:lang w:val="kk-KZ"/>
        </w:rPr>
      </w:pPr>
      <w:r w:rsidRPr="00F20184">
        <w:rPr>
          <w:rFonts w:ascii="Times New Roman" w:hAnsi="Times New Roman" w:cs="Times New Roman"/>
          <w:sz w:val="32"/>
          <w:szCs w:val="32"/>
          <w:lang w:val="kk-KZ"/>
        </w:rPr>
        <w:lastRenderedPageBreak/>
        <w:t>УДК    676.08</w:t>
      </w:r>
    </w:p>
    <w:p w:rsidR="00A115FA" w:rsidRPr="00F20184" w:rsidRDefault="00A115FA" w:rsidP="00A115FA">
      <w:pPr>
        <w:ind w:firstLine="720"/>
        <w:rPr>
          <w:rFonts w:ascii="Times New Roman" w:hAnsi="Times New Roman" w:cs="Times New Roman"/>
          <w:sz w:val="32"/>
          <w:szCs w:val="32"/>
          <w:lang w:val="kk-KZ"/>
        </w:rPr>
      </w:pPr>
      <w:r w:rsidRPr="00F20184">
        <w:rPr>
          <w:rFonts w:ascii="Times New Roman" w:hAnsi="Times New Roman" w:cs="Times New Roman"/>
          <w:sz w:val="32"/>
          <w:szCs w:val="32"/>
          <w:lang w:val="kk-KZ"/>
        </w:rPr>
        <w:t>ББК 63.288-2я71  С63</w:t>
      </w:r>
    </w:p>
    <w:p w:rsidR="00A115FA" w:rsidRDefault="00A115FA" w:rsidP="00A115FA">
      <w:pPr>
        <w:ind w:firstLine="540"/>
        <w:rPr>
          <w:rFonts w:ascii="Times New Roman" w:hAnsi="Times New Roman" w:cs="Times New Roman"/>
          <w:sz w:val="32"/>
          <w:szCs w:val="32"/>
          <w:lang w:val="en-GB"/>
        </w:rPr>
      </w:pPr>
    </w:p>
    <w:p w:rsidR="00A115FA" w:rsidRDefault="00A115FA" w:rsidP="00A115FA">
      <w:pPr>
        <w:ind w:firstLine="540"/>
        <w:rPr>
          <w:rFonts w:ascii="Times New Roman" w:hAnsi="Times New Roman" w:cs="Times New Roman"/>
          <w:sz w:val="32"/>
          <w:szCs w:val="32"/>
          <w:lang w:val="en-GB"/>
        </w:rPr>
      </w:pPr>
    </w:p>
    <w:p w:rsidR="00A115FA" w:rsidRDefault="00A115FA" w:rsidP="00A115FA">
      <w:pPr>
        <w:ind w:firstLine="540"/>
        <w:rPr>
          <w:rFonts w:ascii="Times New Roman" w:hAnsi="Times New Roman" w:cs="Times New Roman"/>
          <w:sz w:val="32"/>
          <w:szCs w:val="32"/>
          <w:lang w:val="en-GB"/>
        </w:rPr>
      </w:pPr>
    </w:p>
    <w:p w:rsidR="00A115FA" w:rsidRPr="008609D7" w:rsidRDefault="00A115FA" w:rsidP="00A115FA">
      <w:pPr>
        <w:ind w:firstLine="540"/>
        <w:rPr>
          <w:rFonts w:ascii="Times New Roman" w:hAnsi="Times New Roman" w:cs="Times New Roman"/>
          <w:sz w:val="32"/>
          <w:szCs w:val="32"/>
          <w:lang w:val="en-GB"/>
        </w:rPr>
      </w:pPr>
      <w:r w:rsidRPr="008609D7">
        <w:rPr>
          <w:rFonts w:ascii="Times New Roman" w:hAnsi="Times New Roman" w:cs="Times New Roman"/>
          <w:sz w:val="32"/>
          <w:szCs w:val="32"/>
          <w:lang w:val="en-GB"/>
        </w:rPr>
        <w:t>The reviewers:</w:t>
      </w:r>
    </w:p>
    <w:p w:rsidR="00A115FA" w:rsidRPr="00EE689A" w:rsidRDefault="00A115FA" w:rsidP="00A115FA">
      <w:pPr>
        <w:ind w:left="567"/>
        <w:rPr>
          <w:rFonts w:ascii="Times New Roman" w:hAnsi="Times New Roman" w:cs="Times New Roman"/>
          <w:sz w:val="32"/>
          <w:szCs w:val="32"/>
          <w:lang w:val="en-GB"/>
        </w:rPr>
      </w:pPr>
      <w:r w:rsidRPr="00EE689A">
        <w:rPr>
          <w:rFonts w:ascii="Times New Roman" w:hAnsi="Times New Roman" w:cs="Times New Roman"/>
          <w:sz w:val="32"/>
          <w:szCs w:val="32"/>
          <w:lang w:val="en-GB"/>
        </w:rPr>
        <w:t>Zhakibekova N.O</w:t>
      </w:r>
      <w:proofErr w:type="gramStart"/>
      <w:r w:rsidRPr="00EE689A">
        <w:rPr>
          <w:rFonts w:ascii="Times New Roman" w:hAnsi="Times New Roman" w:cs="Times New Roman"/>
          <w:sz w:val="32"/>
          <w:szCs w:val="32"/>
          <w:lang w:val="en-GB"/>
        </w:rPr>
        <w:t>.–</w:t>
      </w:r>
      <w:proofErr w:type="gramEnd"/>
      <w:r w:rsidRPr="00EE689A">
        <w:rPr>
          <w:rFonts w:ascii="Times New Roman" w:hAnsi="Times New Roman" w:cs="Times New Roman"/>
          <w:sz w:val="32"/>
          <w:szCs w:val="32"/>
          <w:lang w:val="en-GB"/>
        </w:rPr>
        <w:t xml:space="preserve"> doctor. tehnical.scie</w:t>
      </w:r>
      <w:proofErr w:type="gramStart"/>
      <w:r w:rsidRPr="00EE689A">
        <w:rPr>
          <w:rFonts w:ascii="Times New Roman" w:hAnsi="Times New Roman" w:cs="Times New Roman"/>
          <w:sz w:val="32"/>
          <w:szCs w:val="32"/>
          <w:lang w:val="en-GB"/>
        </w:rPr>
        <w:t>,  M.Auezov</w:t>
      </w:r>
      <w:proofErr w:type="gramEnd"/>
      <w:r w:rsidRPr="00EE689A">
        <w:rPr>
          <w:rFonts w:ascii="Times New Roman" w:hAnsi="Times New Roman" w:cs="Times New Roman"/>
          <w:sz w:val="32"/>
          <w:szCs w:val="32"/>
          <w:lang w:val="en-GB"/>
        </w:rPr>
        <w:t xml:space="preserve"> SKSU</w:t>
      </w:r>
    </w:p>
    <w:p w:rsidR="00A115FA" w:rsidRPr="007853D0" w:rsidRDefault="006376E4" w:rsidP="00A115FA">
      <w:pPr>
        <w:ind w:left="567"/>
        <w:rPr>
          <w:rFonts w:ascii="Times New Roman" w:hAnsi="Times New Roman" w:cs="Times New Roman"/>
          <w:sz w:val="32"/>
          <w:szCs w:val="32"/>
          <w:lang w:val="en-GB"/>
        </w:rPr>
      </w:pPr>
      <w:r w:rsidRPr="006376E4">
        <w:rPr>
          <w:rFonts w:ascii="Times New Roman" w:hAnsi="Times New Roman" w:cs="Times New Roman"/>
          <w:sz w:val="32"/>
          <w:szCs w:val="32"/>
        </w:rPr>
        <w:t>Zhanabaev D</w:t>
      </w:r>
      <w:r w:rsidRPr="00EE689A">
        <w:rPr>
          <w:rFonts w:ascii="Times New Roman" w:hAnsi="Times New Roman" w:cs="Times New Roman"/>
          <w:sz w:val="32"/>
          <w:szCs w:val="32"/>
          <w:lang w:val="en-GB"/>
        </w:rPr>
        <w:t xml:space="preserve"> </w:t>
      </w:r>
      <w:r w:rsidR="00A115FA" w:rsidRPr="00EE689A">
        <w:rPr>
          <w:rFonts w:ascii="Times New Roman" w:hAnsi="Times New Roman" w:cs="Times New Roman"/>
          <w:sz w:val="32"/>
          <w:szCs w:val="32"/>
          <w:lang w:val="en-GB"/>
        </w:rPr>
        <w:t xml:space="preserve">– Phd,   </w:t>
      </w:r>
      <w:r w:rsidRPr="006376E4">
        <w:rPr>
          <w:rFonts w:ascii="Times New Roman" w:hAnsi="Times New Roman" w:cs="Times New Roman"/>
          <w:sz w:val="32"/>
          <w:szCs w:val="32"/>
        </w:rPr>
        <w:t>Shymkent University</w:t>
      </w:r>
      <w:r w:rsidRPr="006376E4">
        <w:rPr>
          <w:rFonts w:ascii="Times New Roman" w:hAnsi="Times New Roman" w:cs="Times New Roman"/>
          <w:bCs/>
          <w:sz w:val="32"/>
          <w:szCs w:val="32"/>
          <w:lang w:val="kk-KZ"/>
        </w:rPr>
        <w:t xml:space="preserve"> </w:t>
      </w:r>
    </w:p>
    <w:p w:rsidR="00A115FA" w:rsidRPr="00EE689A" w:rsidRDefault="006376E4" w:rsidP="006376E4">
      <w:pPr>
        <w:jc w:val="both"/>
        <w:rPr>
          <w:rFonts w:ascii="Times New Roman" w:hAnsi="Times New Roman" w:cs="Times New Roman"/>
          <w:sz w:val="32"/>
          <w:szCs w:val="32"/>
          <w:lang w:val="en-GB"/>
        </w:rPr>
      </w:pPr>
      <w:r w:rsidRPr="006376E4">
        <w:rPr>
          <w:rFonts w:ascii="Times New Roman" w:hAnsi="Times New Roman" w:cs="Times New Roman"/>
        </w:rPr>
        <w:t xml:space="preserve">       </w:t>
      </w:r>
      <w:r w:rsidRPr="006376E4">
        <w:rPr>
          <w:rFonts w:ascii="Times New Roman" w:hAnsi="Times New Roman" w:cs="Times New Roman"/>
          <w:sz w:val="32"/>
          <w:szCs w:val="32"/>
        </w:rPr>
        <w:t xml:space="preserve"> Zhingisbaev B</w:t>
      </w:r>
      <w:proofErr w:type="gramStart"/>
      <w:r w:rsidRPr="006376E4">
        <w:rPr>
          <w:rFonts w:ascii="Times New Roman" w:hAnsi="Times New Roman" w:cs="Times New Roman"/>
          <w:sz w:val="32"/>
          <w:szCs w:val="32"/>
        </w:rPr>
        <w:t>.</w:t>
      </w:r>
      <w:r w:rsidR="00A115FA" w:rsidRPr="00EE689A">
        <w:rPr>
          <w:rFonts w:ascii="Times New Roman" w:hAnsi="Times New Roman" w:cs="Times New Roman"/>
          <w:sz w:val="32"/>
          <w:szCs w:val="32"/>
          <w:lang w:val="en-GB"/>
        </w:rPr>
        <w:t>–</w:t>
      </w:r>
      <w:proofErr w:type="gramEnd"/>
      <w:r w:rsidR="00A115FA" w:rsidRPr="00EE689A">
        <w:rPr>
          <w:rFonts w:ascii="Times New Roman" w:hAnsi="Times New Roman" w:cs="Times New Roman"/>
          <w:sz w:val="32"/>
          <w:szCs w:val="32"/>
          <w:lang w:val="en-GB"/>
        </w:rPr>
        <w:t xml:space="preserve">  </w:t>
      </w:r>
      <w:r>
        <w:rPr>
          <w:rFonts w:ascii="Times New Roman" w:hAnsi="Times New Roman" w:cs="Times New Roman"/>
          <w:sz w:val="32"/>
          <w:szCs w:val="32"/>
        </w:rPr>
        <w:t xml:space="preserve">candidate of </w:t>
      </w:r>
      <w:r w:rsidR="00A115FA" w:rsidRPr="00EE689A">
        <w:rPr>
          <w:rFonts w:ascii="Times New Roman" w:hAnsi="Times New Roman" w:cs="Times New Roman"/>
          <w:sz w:val="32"/>
          <w:szCs w:val="32"/>
          <w:lang w:val="en-GB"/>
        </w:rPr>
        <w:t xml:space="preserve"> tehnical.scie,   Shymkent University</w:t>
      </w:r>
    </w:p>
    <w:p w:rsidR="00A115FA" w:rsidRPr="00C4054B" w:rsidRDefault="00A115FA" w:rsidP="00A115FA">
      <w:pPr>
        <w:ind w:firstLine="720"/>
        <w:rPr>
          <w:rFonts w:ascii="Times New Roman" w:hAnsi="Times New Roman" w:cs="Times New Roman"/>
          <w:sz w:val="32"/>
          <w:szCs w:val="32"/>
          <w:lang w:val="en-GB"/>
        </w:rPr>
      </w:pPr>
    </w:p>
    <w:p w:rsidR="00A115FA" w:rsidRDefault="00A115FA" w:rsidP="00A115FA">
      <w:pPr>
        <w:ind w:firstLine="720"/>
        <w:rPr>
          <w:rFonts w:ascii="Times New Roman" w:hAnsi="Times New Roman" w:cs="Times New Roman"/>
          <w:sz w:val="32"/>
          <w:szCs w:val="32"/>
        </w:rPr>
      </w:pPr>
    </w:p>
    <w:p w:rsidR="006376E4" w:rsidRDefault="00A115FA" w:rsidP="00A115FA">
      <w:pPr>
        <w:ind w:left="567"/>
        <w:jc w:val="both"/>
        <w:rPr>
          <w:rFonts w:ascii="Times New Roman" w:hAnsi="Times New Roman" w:cs="Times New Roman"/>
          <w:sz w:val="32"/>
          <w:szCs w:val="32"/>
        </w:rPr>
      </w:pPr>
      <w:r w:rsidRPr="00FC1908">
        <w:rPr>
          <w:rFonts w:ascii="Times New Roman" w:hAnsi="Times New Roman" w:cs="Times New Roman"/>
          <w:sz w:val="32"/>
          <w:szCs w:val="32"/>
        </w:rPr>
        <w:t xml:space="preserve">The training manual recommended for edition by study-methodical council of M.Auezov SKSU,   </w:t>
      </w:r>
    </w:p>
    <w:p w:rsidR="00A115FA" w:rsidRPr="00FC1908" w:rsidRDefault="00A115FA" w:rsidP="00A115FA">
      <w:pPr>
        <w:ind w:left="567"/>
        <w:jc w:val="both"/>
        <w:rPr>
          <w:rFonts w:ascii="Times New Roman" w:hAnsi="Times New Roman" w:cs="Times New Roman"/>
          <w:sz w:val="32"/>
          <w:szCs w:val="32"/>
        </w:rPr>
      </w:pPr>
      <w:proofErr w:type="gramStart"/>
      <w:r w:rsidRPr="00FC1908">
        <w:rPr>
          <w:rFonts w:ascii="Times New Roman" w:hAnsi="Times New Roman" w:cs="Times New Roman"/>
          <w:sz w:val="32"/>
          <w:szCs w:val="32"/>
        </w:rPr>
        <w:t>the</w:t>
      </w:r>
      <w:proofErr w:type="gramEnd"/>
      <w:r w:rsidRPr="00FC1908">
        <w:rPr>
          <w:rFonts w:ascii="Times New Roman" w:hAnsi="Times New Roman" w:cs="Times New Roman"/>
          <w:sz w:val="32"/>
          <w:szCs w:val="32"/>
        </w:rPr>
        <w:t xml:space="preserve"> protocol #__from «___» ___</w:t>
      </w:r>
      <w:r w:rsidR="006376E4">
        <w:rPr>
          <w:rFonts w:ascii="Times New Roman" w:hAnsi="Times New Roman" w:cs="Times New Roman"/>
          <w:sz w:val="32"/>
          <w:szCs w:val="32"/>
        </w:rPr>
        <w:t>202</w:t>
      </w:r>
    </w:p>
    <w:p w:rsidR="00A115FA" w:rsidRDefault="00A115FA" w:rsidP="00A115FA">
      <w:pPr>
        <w:ind w:firstLine="720"/>
        <w:rPr>
          <w:rFonts w:ascii="Times New Roman" w:hAnsi="Times New Roman" w:cs="Times New Roman"/>
          <w:sz w:val="32"/>
          <w:szCs w:val="32"/>
        </w:rPr>
      </w:pPr>
    </w:p>
    <w:p w:rsidR="00A115FA" w:rsidRPr="00FC1908" w:rsidRDefault="00A115FA" w:rsidP="00A115FA">
      <w:pPr>
        <w:ind w:firstLine="720"/>
        <w:rPr>
          <w:rFonts w:ascii="Times New Roman" w:hAnsi="Times New Roman" w:cs="Times New Roman"/>
          <w:sz w:val="32"/>
          <w:szCs w:val="32"/>
        </w:rPr>
      </w:pPr>
    </w:p>
    <w:p w:rsidR="00A115FA" w:rsidRPr="0028221E" w:rsidRDefault="00A115FA" w:rsidP="00A115FA">
      <w:pPr>
        <w:tabs>
          <w:tab w:val="left" w:pos="567"/>
        </w:tabs>
        <w:ind w:left="567" w:hanging="567"/>
        <w:rPr>
          <w:rFonts w:ascii="Times New Roman" w:hAnsi="Times New Roman" w:cs="Times New Roman"/>
          <w:bCs/>
          <w:sz w:val="32"/>
          <w:szCs w:val="32"/>
          <w:lang w:val="en-GB"/>
        </w:rPr>
      </w:pPr>
      <w:r>
        <w:rPr>
          <w:rFonts w:ascii="Times New Roman" w:hAnsi="Times New Roman" w:cs="Times New Roman"/>
          <w:sz w:val="32"/>
          <w:szCs w:val="32"/>
        </w:rPr>
        <w:t xml:space="preserve">S 12  </w:t>
      </w:r>
      <w:r w:rsidRPr="0028221E">
        <w:rPr>
          <w:rFonts w:ascii="Times New Roman" w:hAnsi="Times New Roman" w:cs="Times New Roman"/>
          <w:sz w:val="32"/>
          <w:szCs w:val="32"/>
          <w:lang w:val="kk-KZ"/>
        </w:rPr>
        <w:t xml:space="preserve">  </w:t>
      </w:r>
      <w:r>
        <w:rPr>
          <w:rFonts w:ascii="Times New Roman" w:hAnsi="Times New Roman" w:cs="Times New Roman"/>
          <w:b/>
          <w:sz w:val="32"/>
          <w:szCs w:val="32"/>
        </w:rPr>
        <w:t>Iztleuov G.M.</w:t>
      </w:r>
      <w:proofErr w:type="gramStart"/>
      <w:r>
        <w:rPr>
          <w:rFonts w:ascii="Times New Roman" w:hAnsi="Times New Roman" w:cs="Times New Roman"/>
          <w:b/>
          <w:sz w:val="32"/>
          <w:szCs w:val="32"/>
        </w:rPr>
        <w:t>,Turebekova</w:t>
      </w:r>
      <w:proofErr w:type="gramEnd"/>
      <w:r>
        <w:rPr>
          <w:rFonts w:ascii="Times New Roman" w:hAnsi="Times New Roman" w:cs="Times New Roman"/>
          <w:b/>
          <w:sz w:val="32"/>
          <w:szCs w:val="32"/>
        </w:rPr>
        <w:t xml:space="preserve"> G.,</w:t>
      </w:r>
      <w:r>
        <w:rPr>
          <w:rFonts w:ascii="Times New Roman" w:hAnsi="Times New Roman" w:cs="Times New Roman"/>
          <w:sz w:val="32"/>
          <w:szCs w:val="32"/>
        </w:rPr>
        <w:t xml:space="preserve"> </w:t>
      </w:r>
      <w:r w:rsidR="006376E4">
        <w:rPr>
          <w:rFonts w:ascii="Times New Roman" w:hAnsi="Times New Roman" w:cs="Times New Roman"/>
          <w:sz w:val="32"/>
          <w:szCs w:val="32"/>
        </w:rPr>
        <w:t>I</w:t>
      </w:r>
      <w:r w:rsidRPr="00A40DF1">
        <w:rPr>
          <w:rFonts w:ascii="Times New Roman" w:hAnsi="Times New Roman" w:cs="Times New Roman"/>
          <w:sz w:val="32"/>
          <w:szCs w:val="32"/>
          <w:lang w:val="kk-KZ"/>
        </w:rPr>
        <w:t xml:space="preserve">ndustrial </w:t>
      </w:r>
      <w:r w:rsidR="006376E4">
        <w:rPr>
          <w:rFonts w:ascii="Times New Roman" w:hAnsi="Times New Roman" w:cs="Times New Roman"/>
          <w:sz w:val="32"/>
          <w:szCs w:val="32"/>
        </w:rPr>
        <w:t>ecology</w:t>
      </w:r>
      <w:r w:rsidRPr="00A40DF1">
        <w:rPr>
          <w:rFonts w:ascii="Times New Roman" w:hAnsi="Times New Roman" w:cs="Times New Roman"/>
          <w:sz w:val="32"/>
          <w:szCs w:val="32"/>
          <w:lang w:val="kk-KZ"/>
        </w:rPr>
        <w:t xml:space="preserve"> </w:t>
      </w:r>
      <w:r w:rsidRPr="0028221E">
        <w:rPr>
          <w:rFonts w:ascii="Times New Roman" w:hAnsi="Times New Roman" w:cs="Times New Roman"/>
          <w:bCs/>
          <w:sz w:val="32"/>
          <w:szCs w:val="32"/>
          <w:lang w:val="en-GB"/>
        </w:rPr>
        <w:t xml:space="preserve">/ </w:t>
      </w:r>
      <w:r>
        <w:rPr>
          <w:rFonts w:ascii="Times New Roman" w:hAnsi="Times New Roman" w:cs="Times New Roman"/>
          <w:bCs/>
          <w:sz w:val="32"/>
          <w:szCs w:val="32"/>
          <w:lang w:val="en-GB"/>
        </w:rPr>
        <w:t>training manual</w:t>
      </w:r>
      <w:r w:rsidRPr="0028221E">
        <w:rPr>
          <w:rFonts w:ascii="Times New Roman" w:hAnsi="Times New Roman" w:cs="Times New Roman"/>
          <w:bCs/>
          <w:sz w:val="32"/>
          <w:szCs w:val="32"/>
          <w:lang w:val="en-GB"/>
        </w:rPr>
        <w:t xml:space="preserve">  - SKSU,</w:t>
      </w:r>
      <w:r>
        <w:rPr>
          <w:rFonts w:ascii="Times New Roman" w:hAnsi="Times New Roman" w:cs="Times New Roman"/>
          <w:bCs/>
          <w:sz w:val="32"/>
          <w:szCs w:val="32"/>
          <w:lang w:val="en-GB"/>
        </w:rPr>
        <w:t>2023</w:t>
      </w:r>
      <w:r w:rsidRPr="0028221E">
        <w:rPr>
          <w:rFonts w:ascii="Times New Roman" w:hAnsi="Times New Roman" w:cs="Times New Roman"/>
          <w:bCs/>
          <w:sz w:val="32"/>
          <w:szCs w:val="32"/>
          <w:lang w:val="en-GB"/>
        </w:rPr>
        <w:t>. -1</w:t>
      </w:r>
      <w:r w:rsidR="00864C74">
        <w:rPr>
          <w:rFonts w:ascii="Times New Roman" w:hAnsi="Times New Roman" w:cs="Times New Roman"/>
          <w:bCs/>
          <w:sz w:val="32"/>
          <w:szCs w:val="32"/>
          <w:lang w:val="en-GB"/>
        </w:rPr>
        <w:t>24</w:t>
      </w:r>
      <w:r w:rsidRPr="0028221E">
        <w:rPr>
          <w:rFonts w:ascii="Times New Roman" w:hAnsi="Times New Roman" w:cs="Times New Roman"/>
          <w:bCs/>
          <w:sz w:val="32"/>
          <w:szCs w:val="32"/>
          <w:lang w:val="en-GB"/>
        </w:rPr>
        <w:t xml:space="preserve"> p</w:t>
      </w:r>
    </w:p>
    <w:p w:rsidR="00A115FA" w:rsidRPr="00F20184" w:rsidRDefault="00A115FA" w:rsidP="00A115FA">
      <w:pPr>
        <w:ind w:firstLine="720"/>
        <w:rPr>
          <w:rFonts w:ascii="Times New Roman" w:hAnsi="Times New Roman" w:cs="Times New Roman"/>
          <w:sz w:val="32"/>
          <w:szCs w:val="32"/>
          <w:lang w:val="en-GB"/>
        </w:rPr>
      </w:pPr>
    </w:p>
    <w:p w:rsidR="00A115FA" w:rsidRDefault="00A115FA" w:rsidP="00A115FA">
      <w:pPr>
        <w:ind w:firstLine="720"/>
        <w:jc w:val="both"/>
        <w:rPr>
          <w:rFonts w:ascii="Times New Roman" w:hAnsi="Times New Roman" w:cs="Times New Roman"/>
          <w:sz w:val="32"/>
          <w:szCs w:val="32"/>
        </w:rPr>
      </w:pPr>
      <w:r>
        <w:rPr>
          <w:rFonts w:ascii="Times New Roman" w:hAnsi="Times New Roman" w:cs="Times New Roman"/>
          <w:sz w:val="32"/>
          <w:szCs w:val="32"/>
        </w:rPr>
        <w:t>ISBN 978-9965-782-67-1</w:t>
      </w:r>
    </w:p>
    <w:p w:rsidR="00A115FA" w:rsidRDefault="00A115FA" w:rsidP="00A115FA">
      <w:pPr>
        <w:ind w:firstLine="720"/>
        <w:rPr>
          <w:rFonts w:ascii="Times New Roman" w:hAnsi="Times New Roman" w:cs="Times New Roman"/>
          <w:sz w:val="32"/>
          <w:szCs w:val="32"/>
          <w:lang w:val="en-GB"/>
        </w:rPr>
      </w:pPr>
    </w:p>
    <w:p w:rsidR="00A115FA" w:rsidRPr="00F20184" w:rsidRDefault="00A115FA" w:rsidP="00A115FA">
      <w:pPr>
        <w:ind w:firstLine="720"/>
        <w:jc w:val="both"/>
        <w:rPr>
          <w:rFonts w:ascii="Times New Roman" w:hAnsi="Times New Roman" w:cs="Times New Roman"/>
          <w:sz w:val="32"/>
          <w:szCs w:val="32"/>
          <w:lang w:val="en-GB"/>
        </w:rPr>
      </w:pPr>
      <w:r w:rsidRPr="00F20184">
        <w:rPr>
          <w:rFonts w:ascii="Times New Roman" w:hAnsi="Times New Roman" w:cs="Times New Roman"/>
          <w:sz w:val="32"/>
          <w:szCs w:val="32"/>
          <w:lang w:val="en-GB"/>
        </w:rPr>
        <w:t xml:space="preserve">The </w:t>
      </w:r>
      <w:r>
        <w:rPr>
          <w:rFonts w:ascii="Times New Roman" w:hAnsi="Times New Roman" w:cs="Times New Roman"/>
          <w:sz w:val="32"/>
          <w:szCs w:val="32"/>
          <w:lang w:val="en-GB"/>
        </w:rPr>
        <w:t xml:space="preserve">training </w:t>
      </w:r>
      <w:proofErr w:type="gramStart"/>
      <w:r>
        <w:rPr>
          <w:rFonts w:ascii="Times New Roman" w:hAnsi="Times New Roman" w:cs="Times New Roman"/>
          <w:sz w:val="32"/>
          <w:szCs w:val="32"/>
          <w:lang w:val="en-GB"/>
        </w:rPr>
        <w:t>manual</w:t>
      </w:r>
      <w:r w:rsidRPr="00F20184">
        <w:rPr>
          <w:rFonts w:ascii="Times New Roman" w:hAnsi="Times New Roman" w:cs="Times New Roman"/>
          <w:sz w:val="32"/>
          <w:szCs w:val="32"/>
          <w:lang w:val="en-GB"/>
        </w:rPr>
        <w:t xml:space="preserve">  is</w:t>
      </w:r>
      <w:proofErr w:type="gramEnd"/>
      <w:r w:rsidRPr="00F20184">
        <w:rPr>
          <w:rFonts w:ascii="Times New Roman" w:hAnsi="Times New Roman" w:cs="Times New Roman"/>
          <w:sz w:val="32"/>
          <w:szCs w:val="32"/>
          <w:lang w:val="en-GB"/>
        </w:rPr>
        <w:t xml:space="preserve"> composed according to requirements of the curriculum and the program of the discipline «</w:t>
      </w:r>
      <w:r w:rsidR="00864C74">
        <w:rPr>
          <w:rFonts w:ascii="Times New Roman" w:hAnsi="Times New Roman" w:cs="Times New Roman"/>
          <w:sz w:val="32"/>
          <w:szCs w:val="32"/>
        </w:rPr>
        <w:t>I</w:t>
      </w:r>
      <w:r w:rsidR="00864C74" w:rsidRPr="00A40DF1">
        <w:rPr>
          <w:rFonts w:ascii="Times New Roman" w:hAnsi="Times New Roman" w:cs="Times New Roman"/>
          <w:sz w:val="32"/>
          <w:szCs w:val="32"/>
          <w:lang w:val="kk-KZ"/>
        </w:rPr>
        <w:t xml:space="preserve">ndustrial </w:t>
      </w:r>
      <w:r w:rsidR="00864C74">
        <w:rPr>
          <w:rFonts w:ascii="Times New Roman" w:hAnsi="Times New Roman" w:cs="Times New Roman"/>
          <w:sz w:val="32"/>
          <w:szCs w:val="32"/>
        </w:rPr>
        <w:t>ecology</w:t>
      </w:r>
      <w:r w:rsidRPr="00F20184">
        <w:rPr>
          <w:rFonts w:ascii="Times New Roman" w:hAnsi="Times New Roman" w:cs="Times New Roman"/>
          <w:sz w:val="32"/>
          <w:szCs w:val="32"/>
          <w:lang w:val="en-GB"/>
        </w:rPr>
        <w:t>»</w:t>
      </w:r>
      <w:r w:rsidR="00864C74">
        <w:rPr>
          <w:rFonts w:ascii="Times New Roman" w:hAnsi="Times New Roman" w:cs="Times New Roman"/>
          <w:sz w:val="32"/>
          <w:szCs w:val="32"/>
          <w:lang w:val="en-GB"/>
        </w:rPr>
        <w:t xml:space="preserve"> </w:t>
      </w:r>
      <w:r w:rsidRPr="00F20184">
        <w:rPr>
          <w:rFonts w:ascii="Times New Roman" w:hAnsi="Times New Roman" w:cs="Times New Roman"/>
          <w:sz w:val="32"/>
          <w:szCs w:val="32"/>
          <w:lang w:val="en-GB"/>
        </w:rPr>
        <w:t>and includes all necessary collection of lectures.</w:t>
      </w:r>
    </w:p>
    <w:p w:rsidR="00A115FA" w:rsidRPr="00F20184" w:rsidRDefault="00A115FA" w:rsidP="00A115FA">
      <w:pPr>
        <w:ind w:firstLine="720"/>
        <w:jc w:val="both"/>
        <w:rPr>
          <w:rFonts w:ascii="Times New Roman" w:hAnsi="Times New Roman" w:cs="Times New Roman"/>
          <w:sz w:val="32"/>
          <w:szCs w:val="32"/>
          <w:lang w:val="en-GB"/>
        </w:rPr>
      </w:pPr>
    </w:p>
    <w:p w:rsidR="00A115FA" w:rsidRDefault="00A115FA" w:rsidP="00A115FA">
      <w:pPr>
        <w:ind w:firstLine="720"/>
        <w:rPr>
          <w:rFonts w:ascii="Times New Roman" w:hAnsi="Times New Roman" w:cs="Times New Roman"/>
          <w:sz w:val="32"/>
          <w:szCs w:val="32"/>
        </w:rPr>
      </w:pPr>
    </w:p>
    <w:p w:rsidR="00A115FA" w:rsidRDefault="00A115FA" w:rsidP="00A115FA">
      <w:pPr>
        <w:ind w:firstLine="720"/>
        <w:rPr>
          <w:rFonts w:ascii="Times New Roman" w:hAnsi="Times New Roman" w:cs="Times New Roman"/>
          <w:sz w:val="32"/>
          <w:szCs w:val="32"/>
        </w:rPr>
      </w:pPr>
    </w:p>
    <w:p w:rsidR="00A115FA" w:rsidRPr="009D16E1" w:rsidRDefault="00A115FA" w:rsidP="00A115FA">
      <w:pPr>
        <w:ind w:firstLine="720"/>
        <w:rPr>
          <w:rFonts w:ascii="Times New Roman" w:hAnsi="Times New Roman" w:cs="Times New Roman"/>
          <w:sz w:val="32"/>
          <w:szCs w:val="32"/>
        </w:rPr>
      </w:pPr>
    </w:p>
    <w:p w:rsidR="00A115FA" w:rsidRPr="00F20184" w:rsidRDefault="00A115FA" w:rsidP="00A115FA">
      <w:pPr>
        <w:ind w:firstLine="720"/>
        <w:jc w:val="both"/>
        <w:rPr>
          <w:rFonts w:ascii="Times New Roman" w:hAnsi="Times New Roman" w:cs="Times New Roman"/>
          <w:sz w:val="32"/>
          <w:szCs w:val="32"/>
          <w:lang w:val="en-GB"/>
        </w:rPr>
      </w:pPr>
    </w:p>
    <w:p w:rsidR="00A115FA" w:rsidRDefault="00A115FA" w:rsidP="00A115FA">
      <w:pPr>
        <w:ind w:firstLine="720"/>
        <w:jc w:val="right"/>
        <w:rPr>
          <w:rFonts w:ascii="Times New Roman" w:hAnsi="Times New Roman" w:cs="Times New Roman"/>
          <w:sz w:val="32"/>
          <w:szCs w:val="32"/>
        </w:rPr>
      </w:pPr>
      <w:r>
        <w:rPr>
          <w:rFonts w:ascii="Times New Roman" w:hAnsi="Times New Roman" w:cs="Times New Roman"/>
          <w:sz w:val="32"/>
          <w:szCs w:val="32"/>
        </w:rPr>
        <w:t>ISBN 978-9965-782-67-1</w:t>
      </w:r>
    </w:p>
    <w:p w:rsidR="00A115FA" w:rsidRPr="00F20184" w:rsidRDefault="00A115FA" w:rsidP="00A115FA">
      <w:pPr>
        <w:ind w:firstLine="720"/>
        <w:jc w:val="right"/>
        <w:rPr>
          <w:rFonts w:ascii="Times New Roman" w:hAnsi="Times New Roman" w:cs="Times New Roman"/>
          <w:sz w:val="32"/>
          <w:szCs w:val="32"/>
          <w:lang w:val="en-GB"/>
        </w:rPr>
      </w:pPr>
    </w:p>
    <w:p w:rsidR="00A115FA" w:rsidRPr="00F20184" w:rsidRDefault="00A115FA" w:rsidP="00A115FA">
      <w:pPr>
        <w:ind w:firstLine="720"/>
        <w:jc w:val="right"/>
        <w:rPr>
          <w:rFonts w:ascii="Times New Roman" w:hAnsi="Times New Roman" w:cs="Times New Roman"/>
          <w:sz w:val="32"/>
          <w:szCs w:val="32"/>
          <w:lang w:val="en-GB"/>
        </w:rPr>
      </w:pPr>
    </w:p>
    <w:p w:rsidR="00DC55A4" w:rsidRDefault="00A115FA" w:rsidP="00A115FA">
      <w:pPr>
        <w:ind w:firstLine="720"/>
        <w:rPr>
          <w:rFonts w:ascii="Times New Roman" w:hAnsi="Times New Roman" w:cs="Times New Roman"/>
          <w:sz w:val="32"/>
          <w:szCs w:val="32"/>
        </w:rPr>
      </w:pPr>
      <w:proofErr w:type="gramStart"/>
      <w:r w:rsidRPr="00F20184">
        <w:rPr>
          <w:rFonts w:ascii="Times New Roman" w:hAnsi="Times New Roman" w:cs="Times New Roman"/>
          <w:sz w:val="32"/>
          <w:szCs w:val="32"/>
          <w:lang w:val="en-GB"/>
        </w:rPr>
        <w:t xml:space="preserve">©  </w:t>
      </w:r>
      <w:r w:rsidRPr="00A521E9">
        <w:rPr>
          <w:rFonts w:ascii="Times New Roman" w:hAnsi="Times New Roman" w:cs="Times New Roman"/>
          <w:bCs/>
          <w:sz w:val="28"/>
          <w:szCs w:val="28"/>
          <w:lang w:val="en-GB"/>
        </w:rPr>
        <w:t>S</w:t>
      </w:r>
      <w:r>
        <w:rPr>
          <w:rFonts w:ascii="Times New Roman" w:hAnsi="Times New Roman" w:cs="Times New Roman"/>
          <w:bCs/>
          <w:sz w:val="28"/>
          <w:szCs w:val="28"/>
          <w:lang w:val="en-GB"/>
        </w:rPr>
        <w:t>KSU</w:t>
      </w:r>
      <w:proofErr w:type="gramEnd"/>
      <w:r w:rsidRPr="00F20184">
        <w:rPr>
          <w:rFonts w:ascii="Times New Roman" w:hAnsi="Times New Roman" w:cs="Times New Roman"/>
          <w:sz w:val="32"/>
          <w:szCs w:val="32"/>
          <w:lang w:val="en-GB"/>
        </w:rPr>
        <w:t xml:space="preserve">, </w:t>
      </w:r>
      <w:r>
        <w:rPr>
          <w:rFonts w:ascii="Times New Roman" w:hAnsi="Times New Roman" w:cs="Times New Roman"/>
          <w:sz w:val="32"/>
          <w:szCs w:val="32"/>
          <w:lang w:val="en-GB"/>
        </w:rPr>
        <w:t>2023</w:t>
      </w:r>
    </w:p>
    <w:p w:rsidR="00DC55A4" w:rsidRPr="00EF4E04" w:rsidRDefault="00DC55A4" w:rsidP="00DC55A4"/>
    <w:p w:rsidR="00B34391" w:rsidRDefault="00B34391" w:rsidP="00B34391">
      <w:pPr>
        <w:ind w:firstLine="720"/>
        <w:rPr>
          <w:rFonts w:ascii="Times New Roman" w:hAnsi="Times New Roman" w:cs="Times New Roman"/>
          <w:sz w:val="32"/>
          <w:szCs w:val="32"/>
          <w:lang w:val="ru-RU"/>
        </w:rPr>
      </w:pPr>
    </w:p>
    <w:p w:rsidR="00A115FA" w:rsidRDefault="00A115FA" w:rsidP="00B34391">
      <w:pPr>
        <w:ind w:firstLine="720"/>
        <w:rPr>
          <w:rFonts w:ascii="Times New Roman" w:hAnsi="Times New Roman" w:cs="Times New Roman"/>
          <w:sz w:val="32"/>
          <w:szCs w:val="32"/>
        </w:rPr>
      </w:pPr>
    </w:p>
    <w:p w:rsidR="006376E4" w:rsidRPr="006376E4" w:rsidRDefault="006376E4" w:rsidP="00B34391">
      <w:pPr>
        <w:ind w:firstLine="720"/>
        <w:rPr>
          <w:rFonts w:ascii="Times New Roman" w:hAnsi="Times New Roman" w:cs="Times New Roman"/>
          <w:sz w:val="32"/>
          <w:szCs w:val="32"/>
        </w:rPr>
      </w:pPr>
    </w:p>
    <w:p w:rsidR="009101BA" w:rsidRPr="00045EE1" w:rsidRDefault="009101BA" w:rsidP="00B34391">
      <w:pPr>
        <w:ind w:firstLine="720"/>
        <w:rPr>
          <w:rFonts w:ascii="Times New Roman" w:hAnsi="Times New Roman" w:cs="Times New Roman"/>
          <w:sz w:val="32"/>
          <w:szCs w:val="32"/>
        </w:rPr>
      </w:pPr>
    </w:p>
    <w:p w:rsidR="00B34391" w:rsidRPr="00B34391" w:rsidRDefault="00B34391" w:rsidP="00B34391">
      <w:pPr>
        <w:ind w:firstLine="720"/>
        <w:rPr>
          <w:rFonts w:ascii="Times New Roman" w:hAnsi="Times New Roman" w:cs="Times New Roman"/>
          <w:sz w:val="32"/>
          <w:szCs w:val="32"/>
        </w:rPr>
      </w:pPr>
    </w:p>
    <w:p w:rsidR="00B34391" w:rsidRPr="00B34391" w:rsidRDefault="00B34391" w:rsidP="00B34391">
      <w:pPr>
        <w:ind w:firstLine="720"/>
        <w:jc w:val="center"/>
        <w:rPr>
          <w:rFonts w:ascii="Times New Roman" w:hAnsi="Times New Roman" w:cs="Times New Roman"/>
          <w:sz w:val="32"/>
          <w:szCs w:val="32"/>
        </w:rPr>
      </w:pPr>
      <w:r w:rsidRPr="00B34391">
        <w:rPr>
          <w:rFonts w:ascii="Times New Roman" w:hAnsi="Times New Roman" w:cs="Times New Roman"/>
          <w:sz w:val="32"/>
          <w:szCs w:val="32"/>
        </w:rPr>
        <w:lastRenderedPageBreak/>
        <w:t>CONTENTS</w:t>
      </w:r>
    </w:p>
    <w:p w:rsidR="00B34391" w:rsidRPr="00B34391" w:rsidRDefault="00B34391" w:rsidP="00B34391">
      <w:pPr>
        <w:ind w:firstLine="720"/>
        <w:jc w:val="both"/>
        <w:rPr>
          <w:rFonts w:ascii="Times New Roman" w:hAnsi="Times New Roman" w:cs="Times New Roman"/>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68"/>
        <w:gridCol w:w="720"/>
      </w:tblGrid>
      <w:tr w:rsidR="00B34391" w:rsidRPr="00B34391" w:rsidTr="00B34391">
        <w:tc>
          <w:tcPr>
            <w:tcW w:w="8568" w:type="dxa"/>
          </w:tcPr>
          <w:p w:rsidR="00B34391" w:rsidRPr="00B34391" w:rsidRDefault="00B34391" w:rsidP="001915A7">
            <w:pPr>
              <w:jc w:val="both"/>
              <w:rPr>
                <w:rFonts w:ascii="Times New Roman" w:hAnsi="Times New Roman" w:cs="Times New Roman"/>
                <w:color w:val="auto"/>
                <w:sz w:val="28"/>
                <w:szCs w:val="28"/>
              </w:rPr>
            </w:pPr>
            <w:r w:rsidRPr="00B34391">
              <w:rPr>
                <w:rFonts w:ascii="Times New Roman" w:hAnsi="Times New Roman" w:cs="Times New Roman"/>
                <w:color w:val="auto"/>
                <w:sz w:val="28"/>
                <w:szCs w:val="28"/>
              </w:rPr>
              <w:t>PREFACE</w:t>
            </w:r>
            <w:r w:rsidR="00FD025C">
              <w:rPr>
                <w:rFonts w:ascii="Times New Roman" w:hAnsi="Times New Roman" w:cs="Times New Roman"/>
                <w:color w:val="auto"/>
                <w:sz w:val="28"/>
                <w:szCs w:val="28"/>
              </w:rPr>
              <w:t>…………………………………………………………</w:t>
            </w:r>
          </w:p>
        </w:tc>
        <w:tc>
          <w:tcPr>
            <w:tcW w:w="720" w:type="dxa"/>
          </w:tcPr>
          <w:p w:rsidR="00B34391" w:rsidRPr="00B34391" w:rsidRDefault="00543EE3" w:rsidP="00543EE3">
            <w:pPr>
              <w:jc w:val="center"/>
              <w:rPr>
                <w:rFonts w:ascii="Times New Roman" w:hAnsi="Times New Roman" w:cs="Times New Roman"/>
              </w:rPr>
            </w:pPr>
            <w:r>
              <w:rPr>
                <w:rFonts w:ascii="Times New Roman" w:hAnsi="Times New Roman" w:cs="Times New Roman"/>
              </w:rPr>
              <w:t>7</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INTRODUCTION. ADVANCES IN SCIENCE AND TECHNOLOGY IN THE FIELD OF PURIFICATION OF INDUSTRIAL WASTE.</w:t>
            </w:r>
          </w:p>
        </w:tc>
        <w:tc>
          <w:tcPr>
            <w:tcW w:w="720" w:type="dxa"/>
          </w:tcPr>
          <w:p w:rsidR="00B34391" w:rsidRPr="00B34391" w:rsidRDefault="00747EF1" w:rsidP="00543EE3">
            <w:pPr>
              <w:jc w:val="center"/>
              <w:rPr>
                <w:rFonts w:ascii="Times New Roman" w:hAnsi="Times New Roman" w:cs="Times New Roman"/>
              </w:rPr>
            </w:pPr>
            <w:r>
              <w:rPr>
                <w:rFonts w:ascii="Times New Roman" w:hAnsi="Times New Roman" w:cs="Times New Roman"/>
              </w:rPr>
              <w:t>9</w:t>
            </w:r>
          </w:p>
        </w:tc>
      </w:tr>
      <w:tr w:rsidR="00DC55A4" w:rsidRPr="00B34391" w:rsidTr="00B34391">
        <w:tc>
          <w:tcPr>
            <w:tcW w:w="8568" w:type="dxa"/>
          </w:tcPr>
          <w:p w:rsidR="00DC55A4" w:rsidRPr="00DC55A4" w:rsidRDefault="00DC55A4" w:rsidP="001915A7">
            <w:pPr>
              <w:pStyle w:val="1"/>
              <w:shd w:val="clear" w:color="auto" w:fill="FFFFFF"/>
              <w:tabs>
                <w:tab w:val="left" w:pos="900"/>
              </w:tabs>
              <w:spacing w:before="0" w:after="0"/>
              <w:rPr>
                <w:rFonts w:ascii="Times New Roman" w:hAnsi="Times New Roman" w:cs="Times New Roman"/>
                <w:sz w:val="28"/>
                <w:szCs w:val="28"/>
                <w:lang w:val="en-GB"/>
              </w:rPr>
            </w:pPr>
            <w:r w:rsidRPr="00DC55A4">
              <w:rPr>
                <w:rFonts w:ascii="Times New Roman" w:hAnsi="Times New Roman" w:cs="Times New Roman"/>
                <w:b w:val="0"/>
                <w:sz w:val="28"/>
                <w:szCs w:val="28"/>
                <w:lang w:val="en-GB"/>
              </w:rPr>
              <w:t>HEAVY METALS TOXICITY AND THE ENVIRONMENT</w:t>
            </w:r>
          </w:p>
        </w:tc>
        <w:tc>
          <w:tcPr>
            <w:tcW w:w="720" w:type="dxa"/>
          </w:tcPr>
          <w:p w:rsidR="00DC55A4" w:rsidRDefault="001915A7" w:rsidP="00DC55A4">
            <w:pPr>
              <w:jc w:val="center"/>
              <w:rPr>
                <w:rFonts w:ascii="Times New Roman" w:hAnsi="Times New Roman" w:cs="Times New Roman"/>
              </w:rPr>
            </w:pPr>
            <w:r>
              <w:rPr>
                <w:rFonts w:ascii="Times New Roman" w:hAnsi="Times New Roman" w:cs="Times New Roman"/>
              </w:rPr>
              <w:t>12</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SOURCES OF FORMATION, COMPOSITION AND CLASSIFICATION, COMPOSITION AND CLASSIFICATION OF WASTES.</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31</w:t>
            </w:r>
          </w:p>
        </w:tc>
      </w:tr>
      <w:tr w:rsidR="00DC55A4" w:rsidRPr="00B34391" w:rsidTr="00B34391">
        <w:tc>
          <w:tcPr>
            <w:tcW w:w="8568" w:type="dxa"/>
          </w:tcPr>
          <w:p w:rsidR="00DC55A4" w:rsidRPr="00DC55A4" w:rsidRDefault="00DC55A4" w:rsidP="001915A7">
            <w:pPr>
              <w:jc w:val="both"/>
              <w:rPr>
                <w:rFonts w:ascii="Times New Roman" w:hAnsi="Times New Roman" w:cs="Times New Roman"/>
                <w:color w:val="auto"/>
                <w:sz w:val="28"/>
                <w:szCs w:val="28"/>
              </w:rPr>
            </w:pPr>
            <w:r w:rsidRPr="00DC55A4">
              <w:rPr>
                <w:rFonts w:ascii="Times New Roman" w:hAnsi="Times New Roman" w:cs="Times New Roman"/>
                <w:bCs/>
                <w:sz w:val="28"/>
                <w:szCs w:val="28"/>
              </w:rPr>
              <w:t>TREATMENT OF INDUSTRIAL WASTEWATER   BY ELECTROCHEMICAL TECHNOLOGIES</w:t>
            </w:r>
          </w:p>
        </w:tc>
        <w:tc>
          <w:tcPr>
            <w:tcW w:w="720" w:type="dxa"/>
          </w:tcPr>
          <w:p w:rsidR="00DC55A4" w:rsidRDefault="001915A7" w:rsidP="00543EE3">
            <w:pPr>
              <w:jc w:val="center"/>
              <w:rPr>
                <w:rFonts w:ascii="Times New Roman" w:hAnsi="Times New Roman" w:cs="Times New Roman"/>
              </w:rPr>
            </w:pPr>
            <w:r>
              <w:rPr>
                <w:rFonts w:ascii="Times New Roman" w:hAnsi="Times New Roman" w:cs="Times New Roman"/>
              </w:rPr>
              <w:t>34</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MECHANICAL CLEANING EFFLUENT. CLASSIFICATION OF BUILDING STRUCTURES AND THEIR WORKING PRINCIPLE (SEPTIC TANKS, OIL SEPARATORS, FILTERS)</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38</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BIOCHEMICAL PURIFICATION OF EFFLUENTS. FEATURES OF PROCESS DESIGNS AND INSTALLATIONS BIOKISLIGELEY.</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41</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CHEMICAL CLEANING EFFLUENT. THE MAIN METHODS OF NEUTRALIZATION AND OXIDATION ST.</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45</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w:t>
            </w:r>
            <w:r w:rsidR="00BF12A8">
              <w:rPr>
                <w:rFonts w:ascii="Times New Roman" w:hAnsi="Times New Roman" w:cs="Times New Roman"/>
                <w:color w:val="auto"/>
                <w:sz w:val="28"/>
                <w:szCs w:val="28"/>
              </w:rPr>
              <w:t>PHYZICO</w:t>
            </w:r>
            <w:r w:rsidRPr="009F19A0">
              <w:rPr>
                <w:rFonts w:ascii="Times New Roman" w:hAnsi="Times New Roman" w:cs="Times New Roman"/>
                <w:color w:val="auto"/>
                <w:sz w:val="28"/>
                <w:szCs w:val="28"/>
              </w:rPr>
              <w:t>-CHEMICAL TREATMENT ST.</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52</w:t>
            </w:r>
          </w:p>
        </w:tc>
      </w:tr>
      <w:tr w:rsidR="00B34391" w:rsidRPr="00B34391" w:rsidTr="00B34391">
        <w:tc>
          <w:tcPr>
            <w:tcW w:w="8568" w:type="dxa"/>
          </w:tcPr>
          <w:p w:rsidR="00FD025C"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w:t>
            </w:r>
            <w:r w:rsidRPr="009F19A0">
              <w:rPr>
                <w:rFonts w:ascii="Times New Roman" w:hAnsi="Times New Roman" w:cs="Times New Roman"/>
                <w:sz w:val="28"/>
                <w:szCs w:val="28"/>
              </w:rPr>
              <w:t>ION EXCHANGE AND CARBON ADSORPTION</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55</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FLOTATION VARIETY OF METHODS AND STRUCTURES OF THE FLOTATION</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60</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REVERSE OSMOSIS AND ULTRAFILTRATION. AREA OF </w:t>
            </w:r>
            <w:r w:rsidRPr="009F19A0">
              <w:rPr>
                <w:rFonts w:ascii="Times New Roman" w:eastAsia="MS Mincho" w:hAnsi="Times New Roman" w:cs="Times New Roman"/>
                <w:color w:val="auto"/>
                <w:sz w:val="28"/>
                <w:szCs w:val="28"/>
              </w:rPr>
              <w:t>​​</w:t>
            </w:r>
            <w:r w:rsidRPr="009F19A0">
              <w:rPr>
                <w:rFonts w:ascii="Times New Roman" w:hAnsi="Times New Roman" w:cs="Times New Roman"/>
                <w:color w:val="auto"/>
                <w:sz w:val="28"/>
                <w:szCs w:val="28"/>
              </w:rPr>
              <w:t xml:space="preserve">USE AND OPERATION. </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62</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ELEKTRODIALSH. SCOPE AND OPERATION.</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64</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sz w:val="28"/>
                <w:szCs w:val="28"/>
              </w:rPr>
              <w:t>SEDIMENTATION, CLARIFICATION, FLOTATION, AND COALESCENCE</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68</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 </w:t>
            </w:r>
            <w:r w:rsidRPr="009F19A0">
              <w:rPr>
                <w:rFonts w:ascii="Times New Roman" w:hAnsi="Times New Roman" w:cs="Times New Roman"/>
                <w:sz w:val="28"/>
                <w:szCs w:val="28"/>
              </w:rPr>
              <w:t>FLOW MEASUREMENTS</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73</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sz w:val="28"/>
                <w:szCs w:val="28"/>
              </w:rPr>
              <w:t>SAMPLING</w:t>
            </w:r>
            <w:r w:rsidRPr="009F19A0">
              <w:rPr>
                <w:rFonts w:ascii="Times New Roman" w:hAnsi="Times New Roman" w:cs="Times New Roman"/>
                <w:color w:val="auto"/>
                <w:sz w:val="28"/>
                <w:szCs w:val="28"/>
              </w:rPr>
              <w:t>.</w:t>
            </w:r>
          </w:p>
        </w:tc>
        <w:tc>
          <w:tcPr>
            <w:tcW w:w="720" w:type="dxa"/>
          </w:tcPr>
          <w:p w:rsidR="00B34391" w:rsidRPr="00B34391" w:rsidRDefault="001915A7" w:rsidP="001915A7">
            <w:pPr>
              <w:jc w:val="center"/>
              <w:rPr>
                <w:rFonts w:ascii="Times New Roman" w:hAnsi="Times New Roman" w:cs="Times New Roman"/>
              </w:rPr>
            </w:pPr>
            <w:r>
              <w:rPr>
                <w:rFonts w:ascii="Times New Roman" w:hAnsi="Times New Roman" w:cs="Times New Roman"/>
              </w:rPr>
              <w:t>76</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METHODS AND FACILITIES FOR SLUDGE TREATMENT OF INDUSTRIAL WASTE WATER, AIR CONDITIONING AND DEWATERING</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80</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RECYCLING INDUSTRIAL WASTE WATER. </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8</w:t>
            </w:r>
            <w:r w:rsidR="00747EF1">
              <w:rPr>
                <w:rFonts w:ascii="Times New Roman" w:hAnsi="Times New Roman" w:cs="Times New Roman"/>
              </w:rPr>
              <w:t>3</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DRYING AND BURNING OF RAIN NE INDUSTRIAL ENTERPRISES</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85</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FEATURES OF WASTEWATER TREATMENT AND DISPOSAL, AND RECYCLING UTIGLIZATSII PRECIPITATION COMPANIES IN SELECTED INDUSTRIES.</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87</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PLANNING AND MANAGING INDUSTRIAL WASTEWATER PRETREATMENT PROCESSES CHAPTER 1 INTRODUCTION</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89</w:t>
            </w:r>
          </w:p>
        </w:tc>
      </w:tr>
      <w:tr w:rsidR="00B34391" w:rsidRPr="00B34391" w:rsidTr="00B34391">
        <w:tc>
          <w:tcPr>
            <w:tcW w:w="8568" w:type="dxa"/>
          </w:tcPr>
          <w:p w:rsidR="001915A7" w:rsidRDefault="009F19A0" w:rsidP="006376E4">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t xml:space="preserve">DESIGN, OPERATION, AND PROCUREMENT OF INDUSTRIAL PRETREATMENT FACILITIES  DISCHARGE AND DISPOSAL REGULATIONS </w:t>
            </w:r>
          </w:p>
          <w:p w:rsidR="006376E4" w:rsidRPr="009F19A0" w:rsidRDefault="006376E4" w:rsidP="006376E4">
            <w:pPr>
              <w:jc w:val="both"/>
              <w:rPr>
                <w:rFonts w:ascii="Times New Roman" w:hAnsi="Times New Roman" w:cs="Times New Roman"/>
                <w:color w:val="auto"/>
                <w:sz w:val="28"/>
                <w:szCs w:val="28"/>
              </w:rPr>
            </w:pP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91</w:t>
            </w:r>
          </w:p>
        </w:tc>
      </w:tr>
      <w:tr w:rsidR="00B34391" w:rsidRPr="00B34391" w:rsidTr="00B34391">
        <w:tc>
          <w:tcPr>
            <w:tcW w:w="8568" w:type="dxa"/>
          </w:tcPr>
          <w:p w:rsidR="00B34391" w:rsidRPr="009F19A0" w:rsidRDefault="009F19A0" w:rsidP="001915A7">
            <w:pPr>
              <w:jc w:val="both"/>
              <w:rPr>
                <w:rFonts w:ascii="Times New Roman" w:hAnsi="Times New Roman" w:cs="Times New Roman"/>
                <w:color w:val="auto"/>
                <w:sz w:val="28"/>
                <w:szCs w:val="28"/>
              </w:rPr>
            </w:pPr>
            <w:r w:rsidRPr="009F19A0">
              <w:rPr>
                <w:rFonts w:ascii="Times New Roman" w:hAnsi="Times New Roman" w:cs="Times New Roman"/>
                <w:color w:val="auto"/>
                <w:sz w:val="28"/>
                <w:szCs w:val="28"/>
              </w:rPr>
              <w:lastRenderedPageBreak/>
              <w:t xml:space="preserve"> TYPES OF TECHNOLOGY-BASED LIMITATIONS LAND-APPLICATION REGULATIONS FOR SITES CONTROLLED </w:t>
            </w:r>
          </w:p>
        </w:tc>
        <w:tc>
          <w:tcPr>
            <w:tcW w:w="720" w:type="dxa"/>
          </w:tcPr>
          <w:p w:rsidR="00B34391" w:rsidRPr="00B34391" w:rsidRDefault="001915A7" w:rsidP="00543EE3">
            <w:pPr>
              <w:jc w:val="center"/>
              <w:rPr>
                <w:rFonts w:ascii="Times New Roman" w:hAnsi="Times New Roman" w:cs="Times New Roman"/>
              </w:rPr>
            </w:pPr>
            <w:r>
              <w:rPr>
                <w:rFonts w:ascii="Times New Roman" w:hAnsi="Times New Roman" w:cs="Times New Roman"/>
              </w:rPr>
              <w:t>93</w:t>
            </w:r>
          </w:p>
        </w:tc>
      </w:tr>
      <w:tr w:rsidR="00B34391" w:rsidRPr="00B34391" w:rsidTr="00B34391">
        <w:tc>
          <w:tcPr>
            <w:tcW w:w="8568" w:type="dxa"/>
          </w:tcPr>
          <w:p w:rsidR="00B34391" w:rsidRPr="009F19A0" w:rsidRDefault="001915A7" w:rsidP="006376E4">
            <w:pPr>
              <w:rPr>
                <w:rFonts w:ascii="Times New Roman" w:hAnsi="Times New Roman" w:cs="Times New Roman"/>
                <w:color w:val="auto"/>
                <w:sz w:val="28"/>
                <w:szCs w:val="28"/>
              </w:rPr>
            </w:pPr>
            <w:r>
              <w:rPr>
                <w:rFonts w:ascii="Times New Roman" w:hAnsi="Times New Roman" w:cs="Times New Roman"/>
                <w:b/>
                <w:bCs/>
                <w:color w:val="auto"/>
                <w:sz w:val="28"/>
                <w:szCs w:val="28"/>
              </w:rPr>
              <w:t xml:space="preserve"> </w:t>
            </w:r>
            <w:r w:rsidRPr="000C05D1">
              <w:rPr>
                <w:rFonts w:ascii="Times New Roman" w:hAnsi="Times New Roman" w:cs="Times New Roman"/>
                <w:b/>
                <w:bCs/>
                <w:color w:val="auto"/>
                <w:sz w:val="28"/>
                <w:szCs w:val="28"/>
              </w:rPr>
              <w:t>REFERENCES</w:t>
            </w:r>
          </w:p>
        </w:tc>
        <w:tc>
          <w:tcPr>
            <w:tcW w:w="720" w:type="dxa"/>
          </w:tcPr>
          <w:p w:rsidR="00B34391" w:rsidRPr="00B34391" w:rsidRDefault="00747EF1" w:rsidP="00543EE3">
            <w:pPr>
              <w:jc w:val="center"/>
              <w:rPr>
                <w:rFonts w:ascii="Times New Roman" w:hAnsi="Times New Roman" w:cs="Times New Roman"/>
              </w:rPr>
            </w:pPr>
            <w:r>
              <w:rPr>
                <w:rFonts w:ascii="Times New Roman" w:hAnsi="Times New Roman" w:cs="Times New Roman"/>
              </w:rPr>
              <w:t>100</w:t>
            </w:r>
          </w:p>
        </w:tc>
      </w:tr>
    </w:tbl>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Default="00B34391" w:rsidP="00B34391">
      <w:pPr>
        <w:ind w:firstLine="720"/>
        <w:jc w:val="both"/>
        <w:rPr>
          <w:rFonts w:ascii="Times New Roman" w:hAnsi="Times New Roman" w:cs="Times New Roman"/>
        </w:rPr>
      </w:pPr>
    </w:p>
    <w:p w:rsidR="00FD025C" w:rsidRPr="00B34391" w:rsidRDefault="00FD025C"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p w:rsidR="00B34391" w:rsidRDefault="00B34391"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lang w:val="ru-RU"/>
        </w:rPr>
      </w:pPr>
    </w:p>
    <w:p w:rsidR="009101BA" w:rsidRDefault="009101BA"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rPr>
      </w:pPr>
    </w:p>
    <w:p w:rsidR="001915A7" w:rsidRDefault="001915A7"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Default="006376E4" w:rsidP="00B34391">
      <w:pPr>
        <w:ind w:firstLine="720"/>
        <w:jc w:val="both"/>
        <w:rPr>
          <w:rFonts w:ascii="Times New Roman" w:hAnsi="Times New Roman" w:cs="Times New Roman"/>
          <w:lang w:val="ru-RU"/>
        </w:rPr>
      </w:pPr>
    </w:p>
    <w:p w:rsidR="006376E4" w:rsidRPr="006376E4" w:rsidRDefault="006376E4" w:rsidP="00B34391">
      <w:pPr>
        <w:ind w:firstLine="720"/>
        <w:jc w:val="both"/>
        <w:rPr>
          <w:rFonts w:ascii="Times New Roman" w:hAnsi="Times New Roman" w:cs="Times New Roman"/>
          <w:lang w:val="ru-RU"/>
        </w:rPr>
      </w:pPr>
    </w:p>
    <w:p w:rsidR="001915A7" w:rsidRDefault="001915A7" w:rsidP="00B34391">
      <w:pPr>
        <w:ind w:firstLine="720"/>
        <w:jc w:val="both"/>
        <w:rPr>
          <w:rFonts w:ascii="Times New Roman" w:hAnsi="Times New Roman" w:cs="Times New Roman"/>
        </w:rPr>
      </w:pPr>
    </w:p>
    <w:p w:rsidR="00B34391" w:rsidRPr="00B34391" w:rsidRDefault="00B34391" w:rsidP="00B34391">
      <w:pPr>
        <w:ind w:firstLine="720"/>
        <w:jc w:val="both"/>
        <w:rPr>
          <w:rFonts w:ascii="Times New Roman" w:hAnsi="Times New Roman" w:cs="Times New Roman"/>
        </w:rPr>
      </w:pPr>
    </w:p>
    <w:bookmarkEnd w:id="0"/>
    <w:bookmarkEnd w:id="1"/>
    <w:p w:rsidR="00B34391" w:rsidRPr="00FD025C" w:rsidRDefault="00B34391" w:rsidP="00FD025C">
      <w:pPr>
        <w:ind w:firstLine="720"/>
        <w:jc w:val="center"/>
        <w:rPr>
          <w:rFonts w:ascii="Times New Roman" w:hAnsi="Times New Roman" w:cs="Times New Roman"/>
          <w:b/>
          <w:bCs/>
          <w:sz w:val="28"/>
          <w:szCs w:val="28"/>
        </w:rPr>
      </w:pPr>
      <w:r w:rsidRPr="00FD025C">
        <w:rPr>
          <w:rFonts w:ascii="Times New Roman" w:hAnsi="Times New Roman" w:cs="Times New Roman"/>
          <w:b/>
          <w:bCs/>
          <w:sz w:val="28"/>
          <w:szCs w:val="28"/>
        </w:rPr>
        <w:t>PREFACE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This volume covers the technologies that are applied to the treatment and purification of water. Those who are generally familiar with this field will immediately embrace the subject as a treatise on solid-liquid separations. However, the subject is much broader, in that the technologies discussed are not just restricted to pollution control hardware that rely only upon physical methods of treating and purifying wastewaters. The book attempts to provide as wide </w:t>
      </w:r>
      <w:proofErr w:type="gramStart"/>
      <w:r w:rsidRPr="00B34391">
        <w:rPr>
          <w:rFonts w:ascii="Times New Roman" w:hAnsi="Times New Roman" w:cs="Times New Roman"/>
          <w:sz w:val="28"/>
          <w:szCs w:val="28"/>
        </w:rPr>
        <w:t>a coverage</w:t>
      </w:r>
      <w:proofErr w:type="gramEnd"/>
      <w:r w:rsidRPr="00B34391">
        <w:rPr>
          <w:rFonts w:ascii="Times New Roman" w:hAnsi="Times New Roman" w:cs="Times New Roman"/>
          <w:sz w:val="28"/>
          <w:szCs w:val="28"/>
        </w:rPr>
        <w:t xml:space="preserve"> as possible those technologies applicable to both water (e.g., drinking water) and wastewater (i.e., industrial and municipal) sources. The methods and technologies discussed are a combination of physical, chemical and thermal techniques.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There are twelve chapters. The first of these provides an orientation of terms and concepts, along with reasons why water treatment practices are needed. This chapter also sets the stage for the balance of the book by providing an organizational structure to the subjects discussed. The second chapter covers the A- B-Cs of filtration theory and practices, which is one of the fundamental unit operations addressed in several chapters of the book. Chapter 3 begins to discuss the chemistry of wastewater and focuses in on the use of chemical additives that assist in physical separation processes for suspended solids. Chapters 4 through 7 cover technology-specific filtration practices. There is a wide range of hardware options covered in these three chapters, with applications to both municipal and industrial sides of the equation. Chapter 8 covers the subjects of sedimentation, clarification flotation, and coalescence, and gets us back into some of the chemistry issues that are important achieving high quality water. Chapter 9 covers membrane separation technologies which are applied to the purification of drinking water. Chapter 10 covers two very important water purification technologies that have found applications not only in drinking water supply and beverage industry applications, but in groundwater remediation applications. These technologies are ion exchange and carbon adsorption. Chapter 11 covers chemical and non-chemical water sterilization technologies, which are critical to providing high quality drinking water. The last chapter focuses on the solid waste of wastewater treatment - sludge. This chapter looks not only at physico-chemical and thermal methods of sludge dewatering, but we explore what can be done with these wastes and their impact on the overall costs that are associated with a water treatment plant operation. Sludge, like water, can be conditioned and sterilized, thereby transforming it from a costly waste, requiring disposal, to a useful byproduct that can enter into secondary markets. Particular emphasis is given to pollution prevention technologies that are not only more environmentally friendly than conventional waste disposal practices, but more cost effective.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Most chapters include a section of recommended resources that I have relied upon in my own consulting practice over the years, and believe you will also. In addition, you will find a section titled Questions for Thinking and Discussing in eleven of the twelve chapters. These chapter sections will get you thinking about the individual subject areas discussed, and challenge you into applying some of the </w:t>
      </w:r>
      <w:r w:rsidRPr="00B34391">
        <w:rPr>
          <w:rFonts w:ascii="Times New Roman" w:hAnsi="Times New Roman" w:cs="Times New Roman"/>
          <w:sz w:val="28"/>
          <w:szCs w:val="28"/>
        </w:rPr>
        <w:lastRenderedPageBreak/>
        <w:t>calculation methods and methodologies reviewed. Although my intent was not to create a college textbook, there is value in using this volume with engineering students, either as a supplemental text or a primary text on water treatment technologies. If used as such, instructors will need to gauge the level of understanding of students before specifying the book for a course, as well as integrate the sequence and degree of coverage provided in this volume, for admittedly, for such a broad and complex subject, it is impossible to provide uniform coverage of all areas in a single volume. My own experience in teaching shows that the subject matter, at the level of presentation in this volume is best suited to students with at least 3 years of engineering education under their belts. Another feature that is incorporated into each chapter is the use of sidebar discussions. These highlight boxes contain information and facts about each subject area that help to emphasize important points to remember, plus can assist plant managers in training technical staff, especially operators on the specific technologies relied upon in their operations. Finally, there is a Glossary of several hundred terms at the end of the book. This will prove useful to you not only when reading through the chapters, but as a general resource reference.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In some cases equipment suppliers and tradenames are noted, however these citations should not be considered an endorsement of products or services. They are cited strictly for illustrative purposes. Also recognize, that neither I, nor the </w:t>
      </w:r>
      <w:proofErr w:type="gramStart"/>
      <w:r w:rsidRPr="00B34391">
        <w:rPr>
          <w:rFonts w:ascii="Times New Roman" w:hAnsi="Times New Roman" w:cs="Times New Roman"/>
          <w:sz w:val="28"/>
          <w:szCs w:val="28"/>
        </w:rPr>
        <w:t>publisher guarantee</w:t>
      </w:r>
      <w:proofErr w:type="gramEnd"/>
      <w:r w:rsidRPr="00B34391">
        <w:rPr>
          <w:rFonts w:ascii="Times New Roman" w:hAnsi="Times New Roman" w:cs="Times New Roman"/>
          <w:sz w:val="28"/>
          <w:szCs w:val="28"/>
        </w:rPr>
        <w:t xml:space="preserve"> any designs emanating from the use of resources or discussions presented herein. Final designs must be based upon strict adherence to local engineering codes, and federal safety and environmental compliance standards. This volume constitutes the beginning of what Butterworth-Heinemann Publishers and I hope to provide to environmental and pollution control engineers/managers, namely an authoritative and extensive reference series covering control equipment and technologies. As a chemical engineer and a consultant, I not only had the great fortune of having a father, who was famous in the field of pollution control, but the opportunity to work in consulting practice with him on a broad spectrum of environmental problems within industry. We oftentimes talked and planned on writing an authoritative volume on the hardware and technologies available to solve pollution problems in the belief that, although there are many great works in the technical literature, the levels of presentations of this important subject vary dramatically and the information is fragmented. With my father’s untimely death in 1994, and my commitment to a multi-year assignment, dealing with environmental responsible care and the development of national environmental policies in </w:t>
      </w:r>
      <w:smartTag w:uri="urn:schemas-microsoft-com:office:smarttags" w:element="country-region">
        <w:r w:rsidRPr="00B34391">
          <w:rPr>
            <w:rFonts w:ascii="Times New Roman" w:hAnsi="Times New Roman" w:cs="Times New Roman"/>
            <w:sz w:val="28"/>
            <w:szCs w:val="28"/>
          </w:rPr>
          <w:t>Ukraine</w:t>
        </w:r>
      </w:smartTag>
      <w:r w:rsidRPr="00B34391">
        <w:rPr>
          <w:rFonts w:ascii="Times New Roman" w:hAnsi="Times New Roman" w:cs="Times New Roman"/>
          <w:sz w:val="28"/>
          <w:szCs w:val="28"/>
        </w:rPr>
        <w:t xml:space="preserve"> and </w:t>
      </w:r>
      <w:smartTag w:uri="urn:schemas-microsoft-com:office:smarttags" w:element="place">
        <w:smartTag w:uri="urn:schemas-microsoft-com:office:smarttags" w:element="country-region">
          <w:r w:rsidRPr="00B34391">
            <w:rPr>
              <w:rFonts w:ascii="Times New Roman" w:hAnsi="Times New Roman" w:cs="Times New Roman"/>
              <w:sz w:val="28"/>
              <w:szCs w:val="28"/>
            </w:rPr>
            <w:t>Russia</w:t>
          </w:r>
        </w:smartTag>
      </w:smartTag>
      <w:r w:rsidRPr="00B34391">
        <w:rPr>
          <w:rFonts w:ascii="Times New Roman" w:hAnsi="Times New Roman" w:cs="Times New Roman"/>
          <w:sz w:val="28"/>
          <w:szCs w:val="28"/>
        </w:rPr>
        <w:t>, as part of contracts commitments to the U.S. Agency for International Development and the European Union, the original volume we intended was never written. Only now, having the opportunity to try and bring this work forward, I recognize that no single volume can do adequate justice to the subject area.</w:t>
      </w:r>
    </w:p>
    <w:p w:rsidR="00B34391" w:rsidRPr="00B34391" w:rsidRDefault="00B34391" w:rsidP="00B34391">
      <w:pPr>
        <w:ind w:firstLine="720"/>
        <w:jc w:val="both"/>
        <w:rPr>
          <w:rFonts w:ascii="Times New Roman" w:hAnsi="Times New Roman" w:cs="Times New Roman"/>
          <w:sz w:val="28"/>
          <w:szCs w:val="28"/>
        </w:rPr>
      </w:pPr>
      <w:bookmarkStart w:id="3" w:name="bookmark8"/>
    </w:p>
    <w:p w:rsidR="00B34391" w:rsidRPr="00B34391" w:rsidRDefault="00B34391" w:rsidP="00B34391">
      <w:pPr>
        <w:ind w:firstLine="720"/>
        <w:jc w:val="both"/>
        <w:rPr>
          <w:rFonts w:ascii="Times New Roman" w:hAnsi="Times New Roman" w:cs="Times New Roman"/>
          <w:sz w:val="28"/>
          <w:szCs w:val="28"/>
        </w:rPr>
      </w:pPr>
    </w:p>
    <w:p w:rsidR="00B34391" w:rsidRDefault="00B34391" w:rsidP="00B34391">
      <w:pPr>
        <w:ind w:firstLine="720"/>
        <w:jc w:val="both"/>
        <w:rPr>
          <w:rFonts w:ascii="Times New Roman" w:hAnsi="Times New Roman" w:cs="Times New Roman"/>
          <w:sz w:val="28"/>
          <w:szCs w:val="28"/>
        </w:rPr>
      </w:pPr>
    </w:p>
    <w:p w:rsidR="008C0795" w:rsidRDefault="008C0795" w:rsidP="00B34391">
      <w:pPr>
        <w:ind w:firstLine="720"/>
        <w:jc w:val="both"/>
        <w:rPr>
          <w:rFonts w:ascii="Times New Roman" w:hAnsi="Times New Roman" w:cs="Times New Roman"/>
          <w:sz w:val="28"/>
          <w:szCs w:val="28"/>
        </w:rPr>
      </w:pPr>
    </w:p>
    <w:p w:rsidR="008C0795" w:rsidRPr="00B34391" w:rsidRDefault="008C0795" w:rsidP="00B34391">
      <w:pPr>
        <w:ind w:firstLine="720"/>
        <w:jc w:val="both"/>
        <w:rPr>
          <w:rFonts w:ascii="Times New Roman" w:hAnsi="Times New Roman" w:cs="Times New Roman"/>
          <w:sz w:val="28"/>
          <w:szCs w:val="28"/>
        </w:rPr>
      </w:pPr>
    </w:p>
    <w:p w:rsidR="00A115FA" w:rsidRPr="00233D2C" w:rsidRDefault="00A115FA" w:rsidP="00A115FA">
      <w:pPr>
        <w:tabs>
          <w:tab w:val="left" w:pos="0"/>
        </w:tabs>
        <w:ind w:firstLine="724"/>
        <w:jc w:val="both"/>
        <w:rPr>
          <w:rFonts w:ascii="Times New Roman" w:hAnsi="Times New Roman" w:cs="Times New Roman"/>
          <w:b/>
          <w:sz w:val="30"/>
          <w:szCs w:val="30"/>
        </w:rPr>
      </w:pPr>
      <w:proofErr w:type="gramStart"/>
      <w:r w:rsidRPr="00233D2C">
        <w:rPr>
          <w:rFonts w:ascii="Times New Roman" w:hAnsi="Times New Roman" w:cs="Times New Roman"/>
          <w:b/>
          <w:bCs/>
          <w:sz w:val="30"/>
          <w:szCs w:val="30"/>
        </w:rPr>
        <w:t>2.RECYCLING</w:t>
      </w:r>
      <w:proofErr w:type="gramEnd"/>
      <w:r w:rsidRPr="00233D2C">
        <w:rPr>
          <w:rFonts w:ascii="Times New Roman" w:hAnsi="Times New Roman" w:cs="Times New Roman"/>
          <w:b/>
          <w:bCs/>
          <w:sz w:val="30"/>
          <w:szCs w:val="30"/>
        </w:rPr>
        <w:t xml:space="preserve"> OF REFINERY AND PETROCHEMICAL WASTE </w:t>
      </w:r>
      <w:r w:rsidRPr="00233D2C">
        <w:rPr>
          <w:rFonts w:ascii="Times New Roman" w:hAnsi="Times New Roman" w:cs="Times New Roman"/>
          <w:sz w:val="30"/>
          <w:szCs w:val="30"/>
        </w:rPr>
        <w:t xml:space="preserve"> </w:t>
      </w:r>
    </w:p>
    <w:p w:rsidR="00A115FA" w:rsidRPr="00233D2C" w:rsidRDefault="00A115FA" w:rsidP="00A115FA">
      <w:pPr>
        <w:jc w:val="center"/>
        <w:rPr>
          <w:rFonts w:ascii="Times New Roman" w:hAnsi="Times New Roman" w:cs="Times New Roman"/>
          <w:sz w:val="30"/>
          <w:szCs w:val="30"/>
        </w:rPr>
      </w:pPr>
    </w:p>
    <w:p w:rsidR="00A115FA" w:rsidRPr="00233D2C" w:rsidRDefault="00A115FA" w:rsidP="00A115FA">
      <w:pPr>
        <w:pStyle w:val="af5"/>
        <w:ind w:firstLine="720"/>
        <w:jc w:val="both"/>
        <w:rPr>
          <w:rFonts w:ascii="Times New Roman" w:hAnsi="Times New Roman"/>
          <w:b w:val="0"/>
          <w:bCs w:val="0"/>
          <w:sz w:val="30"/>
          <w:szCs w:val="30"/>
        </w:rPr>
      </w:pPr>
      <w:r w:rsidRPr="00233D2C">
        <w:rPr>
          <w:rFonts w:ascii="Times New Roman" w:hAnsi="Times New Roman"/>
          <w:b w:val="0"/>
          <w:bCs w:val="0"/>
          <w:sz w:val="30"/>
          <w:szCs w:val="30"/>
        </w:rPr>
        <w:t xml:space="preserve">The Environmental Health and Safety (EHS) Office is responsible for properly disposing of chemical waste generated by laboratories and other campus operations.   The following information should assist College personnel in accumulating and storing chemical waste in such a manner as to ensure safety and regulatory compliance. </w:t>
      </w:r>
    </w:p>
    <w:p w:rsidR="00A115FA" w:rsidRPr="00233D2C" w:rsidRDefault="00A115FA" w:rsidP="00A115FA">
      <w:pPr>
        <w:jc w:val="both"/>
        <w:rPr>
          <w:rFonts w:ascii="Times New Roman" w:hAnsi="Times New Roman" w:cs="Times New Roman"/>
          <w:sz w:val="30"/>
          <w:szCs w:val="30"/>
        </w:rPr>
      </w:pPr>
      <w:r w:rsidRPr="00233D2C">
        <w:rPr>
          <w:rFonts w:ascii="Times New Roman" w:hAnsi="Times New Roman" w:cs="Times New Roman"/>
          <w:sz w:val="30"/>
          <w:szCs w:val="30"/>
        </w:rPr>
        <w:tab/>
        <w:t xml:space="preserve">The U.S. Environmental Protection Agency (EPA), the federal and state Departments of Transportation (DOT), and New York State Department of Environmental Conservation (DEC) very strictly regulate hazardous waste handling and disposal.  Noncompliance with regulatory requirements can result in significant fines and negative publicity.   The cooperation of all chemical waste generators is necessary to make ESF a safe place to learn and work.  Any questions that are not covered in this document should be directed to the EHS Office, 5 Bray Hall, </w:t>
      </w:r>
      <w:proofErr w:type="gramStart"/>
      <w:r w:rsidRPr="00233D2C">
        <w:rPr>
          <w:rFonts w:ascii="Times New Roman" w:hAnsi="Times New Roman" w:cs="Times New Roman"/>
          <w:sz w:val="30"/>
          <w:szCs w:val="30"/>
        </w:rPr>
        <w:t>470</w:t>
      </w:r>
      <w:proofErr w:type="gramEnd"/>
      <w:r w:rsidRPr="00233D2C">
        <w:rPr>
          <w:rFonts w:ascii="Times New Roman" w:hAnsi="Times New Roman" w:cs="Times New Roman"/>
          <w:sz w:val="30"/>
          <w:szCs w:val="30"/>
        </w:rPr>
        <w:t>-6964.</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sz w:val="30"/>
          <w:szCs w:val="30"/>
        </w:rPr>
        <w:t xml:space="preserve">According to the EPA, hazardous waste is any waste that is ignitable (flash point of &lt; 140 F), corrosive (pH of </w:t>
      </w:r>
      <w:r w:rsidRPr="00233D2C">
        <w:rPr>
          <w:rFonts w:ascii="Times New Roman" w:hAnsi="Times New Roman" w:cs="Times New Roman"/>
          <w:sz w:val="30"/>
          <w:szCs w:val="30"/>
          <w:u w:val="single"/>
        </w:rPr>
        <w:t>&lt;</w:t>
      </w:r>
      <w:r w:rsidRPr="00233D2C">
        <w:rPr>
          <w:rFonts w:ascii="Times New Roman" w:hAnsi="Times New Roman" w:cs="Times New Roman"/>
          <w:sz w:val="30"/>
          <w:szCs w:val="30"/>
        </w:rPr>
        <w:t xml:space="preserve"> 2 or </w:t>
      </w:r>
      <w:r w:rsidRPr="00233D2C">
        <w:rPr>
          <w:rFonts w:ascii="Times New Roman" w:hAnsi="Times New Roman" w:cs="Times New Roman"/>
          <w:sz w:val="30"/>
          <w:szCs w:val="30"/>
          <w:u w:val="single"/>
        </w:rPr>
        <w:t>&gt;</w:t>
      </w:r>
      <w:r w:rsidRPr="00233D2C">
        <w:rPr>
          <w:rFonts w:ascii="Times New Roman" w:hAnsi="Times New Roman" w:cs="Times New Roman"/>
          <w:sz w:val="30"/>
          <w:szCs w:val="30"/>
        </w:rPr>
        <w:t xml:space="preserve"> 12.5), reactive, or specifically listed by the EPA as a toxic waste.  Material Safety Data Sheets (MSDSs) are a good source of information for determining whether a particular material meets any of these criteria.  Hazardous wastes may include byproducts and wastes from chemical reactions or unwanted commercial products and chemicals. </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sz w:val="30"/>
          <w:szCs w:val="30"/>
        </w:rPr>
        <w:t xml:space="preserve">Hazardous waste determinations are not always straightforward, so if you are unsure whether a particular waste is hazardous or not, contact the EHS Office for guidance.   If you are in doubt, collect the waste and submit it for proper disposal.    </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bCs/>
          <w:sz w:val="30"/>
          <w:szCs w:val="30"/>
        </w:rPr>
        <w:t>Hazardous waste may not be disposed of in the trash or down the drain.</w:t>
      </w:r>
      <w:r w:rsidRPr="00233D2C">
        <w:rPr>
          <w:rFonts w:ascii="Times New Roman" w:hAnsi="Times New Roman" w:cs="Times New Roman"/>
          <w:sz w:val="30"/>
          <w:szCs w:val="30"/>
        </w:rPr>
        <w:t xml:space="preserve">   It must be collected, submitted to the EHS Office, and shipped to a permitted treatment, storage, or disposal facility.   Improperly managed hazardous waste can present a safety hazard to laboratory and custodial workers, a physical hazard to plumbing and buildings, and an environmental hazard should releases occur to the air, ground, or water.</w:t>
      </w:r>
    </w:p>
    <w:p w:rsidR="00A115FA" w:rsidRPr="00233D2C" w:rsidRDefault="00A115FA" w:rsidP="00A115FA">
      <w:pPr>
        <w:pStyle w:val="1"/>
        <w:spacing w:before="0" w:after="0"/>
        <w:ind w:firstLine="720"/>
        <w:jc w:val="both"/>
        <w:rPr>
          <w:rFonts w:ascii="Times New Roman" w:hAnsi="Times New Roman" w:cs="Times New Roman"/>
          <w:b w:val="0"/>
          <w:sz w:val="30"/>
          <w:szCs w:val="30"/>
          <w:lang w:val="en-US"/>
        </w:rPr>
      </w:pPr>
      <w:proofErr w:type="gramStart"/>
      <w:r w:rsidRPr="00233D2C">
        <w:rPr>
          <w:rFonts w:ascii="Times New Roman" w:hAnsi="Times New Roman" w:cs="Times New Roman"/>
          <w:b w:val="0"/>
          <w:iCs/>
          <w:sz w:val="30"/>
          <w:szCs w:val="30"/>
          <w:lang w:val="en-US"/>
        </w:rPr>
        <w:t>Hazardous Waste Accumulation and Storage.</w:t>
      </w:r>
      <w:proofErr w:type="gramEnd"/>
      <w:r w:rsidRPr="00233D2C">
        <w:rPr>
          <w:rFonts w:ascii="Times New Roman" w:hAnsi="Times New Roman" w:cs="Times New Roman"/>
          <w:b w:val="0"/>
          <w:iCs/>
          <w:sz w:val="30"/>
          <w:szCs w:val="30"/>
          <w:lang w:val="en-US"/>
        </w:rPr>
        <w:t xml:space="preserve"> </w:t>
      </w:r>
      <w:r w:rsidRPr="00233D2C">
        <w:rPr>
          <w:rFonts w:ascii="Times New Roman" w:hAnsi="Times New Roman" w:cs="Times New Roman"/>
          <w:b w:val="0"/>
          <w:sz w:val="30"/>
          <w:szCs w:val="30"/>
          <w:lang w:val="en-US"/>
        </w:rPr>
        <w:t>The following guidelines for accumulating and storing hazardous waste should always be followed:</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sz w:val="30"/>
          <w:szCs w:val="30"/>
        </w:rPr>
        <w:t xml:space="preserve">Hazardous waste should be stored near the point of generation, in the lab in which it is generated.  Waste should be consolidated in one place in the lab – not spread out in several different cabinets and counter tops.  You may utilize a single hazardous waste accumulation area for a suite of labs, as long as the labs are under the control of the same director and all lab occupants are </w:t>
      </w:r>
      <w:r w:rsidRPr="00233D2C">
        <w:rPr>
          <w:rFonts w:ascii="Times New Roman" w:hAnsi="Times New Roman" w:cs="Times New Roman"/>
          <w:sz w:val="30"/>
          <w:szCs w:val="30"/>
        </w:rPr>
        <w:lastRenderedPageBreak/>
        <w:t>familiar with the activities/experiments of the others.  Hazardous waste should not be moved down hallways or to other floors.</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sz w:val="30"/>
          <w:szCs w:val="30"/>
        </w:rPr>
        <w:t>All waste must be collected in tightly closing, leak-proof containers that must be kept closed except when adding waste.  Therefore, stoppered glassware or beakers are not appropriate waste collection containers.  Waste collection containers may not be left open with funnels.</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sz w:val="30"/>
          <w:szCs w:val="30"/>
        </w:rPr>
        <w:t>Ensure the waste material is compatible with the collection container and will not react with it, for example, do not put corrosives in metal containers.  In general, plastic containers are preferred to glass, as they are less likely to break if knocked over.  If a particular waste is generated on a fairly large scale, as with some solvents, you may want to obtain a 2 ½ gallon plastic container from the EHS Office for collection.  Smaller containers are also usually available from either the EHS Office or the Chemical Stock Room.</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sz w:val="30"/>
          <w:szCs w:val="30"/>
        </w:rPr>
        <w:t xml:space="preserve">Only similar wastes should be collected in the same container.  Mixing incompatible or different types of wastes may cause a chemical reaction or greatly increase disposal costs.  Therefore, you may have several different waste containers accumulating at the same time, for example, one for non-chlorinated flammable solvents, another for acids, etc.  </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bCs/>
          <w:sz w:val="30"/>
          <w:szCs w:val="30"/>
        </w:rPr>
        <w:t>Hazardous waste containers must be labeled with the words “Hazardous Waste” in addition to their specific chemical contents.</w:t>
      </w:r>
      <w:r w:rsidRPr="00233D2C">
        <w:rPr>
          <w:rFonts w:ascii="Times New Roman" w:hAnsi="Times New Roman" w:cs="Times New Roman"/>
          <w:sz w:val="30"/>
          <w:szCs w:val="30"/>
        </w:rPr>
        <w:t xml:space="preserve">   Hazardous Waste labels are available through the EHS Office and the Chemical Stock Room.  Be sure to also list on the label the specific contents; for example, flammable solvents – acetone, hexane.   Chemical names must be completely spelled out, abbreviations or chemical structures are not allowed.  If you use an empty commercial chemical container to collect waste, you must obliterate the old chemical label to avoid possible confusion as to the contents.</w:t>
      </w:r>
    </w:p>
    <w:p w:rsidR="00A115FA" w:rsidRPr="00233D2C" w:rsidRDefault="00A115FA" w:rsidP="009C6833">
      <w:pPr>
        <w:widowControl/>
        <w:numPr>
          <w:ilvl w:val="0"/>
          <w:numId w:val="41"/>
        </w:numPr>
        <w:ind w:left="0"/>
        <w:jc w:val="both"/>
        <w:rPr>
          <w:rFonts w:ascii="Times New Roman" w:hAnsi="Times New Roman" w:cs="Times New Roman"/>
          <w:sz w:val="30"/>
          <w:szCs w:val="30"/>
        </w:rPr>
      </w:pPr>
      <w:r w:rsidRPr="00233D2C">
        <w:rPr>
          <w:rFonts w:ascii="Times New Roman" w:hAnsi="Times New Roman" w:cs="Times New Roman"/>
          <w:sz w:val="30"/>
          <w:szCs w:val="30"/>
        </w:rPr>
        <w:t>Waste containers, as any chemical container, should not be stored in a location where a spill could potentially cause a release to the environment.  Containers should not be stored next to sinks and ideally not in hoods with sinks.  Containers should not be stored on the floor where they can be kicked over, particularly in rooms with floor drains.</w:t>
      </w:r>
    </w:p>
    <w:p w:rsidR="00A115FA" w:rsidRPr="00233D2C" w:rsidRDefault="00A115FA" w:rsidP="00A115FA">
      <w:pPr>
        <w:pStyle w:val="2"/>
        <w:spacing w:before="0" w:after="0"/>
        <w:ind w:firstLine="720"/>
        <w:jc w:val="both"/>
        <w:rPr>
          <w:rFonts w:ascii="Times New Roman" w:hAnsi="Times New Roman" w:cs="Times New Roman"/>
          <w:sz w:val="30"/>
          <w:szCs w:val="30"/>
        </w:rPr>
      </w:pPr>
      <w:r w:rsidRPr="00233D2C">
        <w:rPr>
          <w:rFonts w:ascii="Times New Roman" w:hAnsi="Times New Roman" w:cs="Times New Roman"/>
          <w:b w:val="0"/>
          <w:i w:val="0"/>
          <w:sz w:val="30"/>
          <w:szCs w:val="30"/>
        </w:rPr>
        <w:t>Laboratory Chemical Inventories and Housekeeping For safety reasons, it is best to keep the number of chemicals on-hand in the laboratory limited to those actually in use or planned for use.  Periodic reviews of chemical inventories are encouraged to eliminate unwanted chemicals.  This is also a good opportunity to ensure all containers are in good condition and clearly labeled.  Over time, labels can fade or fall off, leaving an unidentified chemical</w:t>
      </w:r>
      <w:r w:rsidRPr="00233D2C">
        <w:rPr>
          <w:rFonts w:ascii="Times New Roman" w:hAnsi="Times New Roman" w:cs="Times New Roman"/>
          <w:sz w:val="30"/>
          <w:szCs w:val="30"/>
        </w:rPr>
        <w:t xml:space="preserve">.  </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sz w:val="30"/>
          <w:szCs w:val="30"/>
        </w:rPr>
        <w:t xml:space="preserve">It is also a good policy to ensure students and researchers properly dispose of any wastes or residuals from their work prior to leaving ESF.  Too often, unidentified chemical containers are left for later lab occupants to deal with.  If the contents cannot be identified, the cost of disposal greatly </w:t>
      </w:r>
      <w:r w:rsidRPr="00233D2C">
        <w:rPr>
          <w:rFonts w:ascii="Times New Roman" w:hAnsi="Times New Roman" w:cs="Times New Roman"/>
          <w:sz w:val="30"/>
          <w:szCs w:val="30"/>
        </w:rPr>
        <w:lastRenderedPageBreak/>
        <w:t>increases, and accidents can result from improper handling.</w:t>
      </w:r>
    </w:p>
    <w:p w:rsidR="00A115FA" w:rsidRPr="00233D2C" w:rsidRDefault="00A115FA" w:rsidP="00A115FA">
      <w:pPr>
        <w:ind w:firstLine="720"/>
        <w:jc w:val="both"/>
        <w:rPr>
          <w:rFonts w:ascii="Times New Roman" w:hAnsi="Times New Roman" w:cs="Times New Roman"/>
          <w:i/>
          <w:iCs/>
          <w:sz w:val="30"/>
          <w:szCs w:val="30"/>
        </w:rPr>
      </w:pPr>
      <w:r w:rsidRPr="00233D2C">
        <w:rPr>
          <w:rFonts w:ascii="Times New Roman" w:hAnsi="Times New Roman" w:cs="Times New Roman"/>
          <w:sz w:val="30"/>
          <w:szCs w:val="30"/>
        </w:rPr>
        <w:t xml:space="preserve">When you have waste containers that are full or that you are finished working with, contact the EHS Office to arrange for the material to be picked up.  Completely fill in a </w:t>
      </w:r>
      <w:r w:rsidRPr="00233D2C">
        <w:rPr>
          <w:rFonts w:ascii="Times New Roman" w:hAnsi="Times New Roman" w:cs="Times New Roman"/>
          <w:i/>
          <w:iCs/>
          <w:sz w:val="30"/>
          <w:szCs w:val="30"/>
        </w:rPr>
        <w:t>Surplus Chemical/Waste Disposal Form</w:t>
      </w:r>
      <w:r w:rsidRPr="00233D2C">
        <w:rPr>
          <w:rFonts w:ascii="Times New Roman" w:hAnsi="Times New Roman" w:cs="Times New Roman"/>
          <w:sz w:val="30"/>
          <w:szCs w:val="30"/>
        </w:rPr>
        <w:t xml:space="preserve">, being sure to indicate the composition of the waste and quantity and size of containers.  When listing waste components, also include approximate percentages; for example, methylene chloride 50%, water 50%.  Send the top white copy of the form to the EHS Office - 5 Bray Hall and attach the bottom copy to the waste container.  Alternately, if you have a large number of different wastes, you may submit a list that includes all the pertinent information from the </w:t>
      </w:r>
      <w:r w:rsidRPr="00233D2C">
        <w:rPr>
          <w:rFonts w:ascii="Times New Roman" w:hAnsi="Times New Roman" w:cs="Times New Roman"/>
          <w:i/>
          <w:iCs/>
          <w:sz w:val="30"/>
          <w:szCs w:val="30"/>
        </w:rPr>
        <w:t xml:space="preserve">Surplus Chemical/Waste Disposal Form.  </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sz w:val="30"/>
          <w:szCs w:val="30"/>
        </w:rPr>
        <w:t>Make sure all containers are in good condition for transport and clearly labeled.  Wipe off any spilled material and close the top tightly.  Assuming there are no questions regarding the waste, someone from the EHS Office will then remove the waste from your lab.</w:t>
      </w:r>
    </w:p>
    <w:p w:rsidR="00A115FA" w:rsidRPr="00233D2C" w:rsidRDefault="00A115FA" w:rsidP="00A115FA">
      <w:pPr>
        <w:ind w:firstLine="720"/>
        <w:jc w:val="both"/>
        <w:rPr>
          <w:rFonts w:ascii="Times New Roman" w:hAnsi="Times New Roman" w:cs="Times New Roman"/>
          <w:sz w:val="30"/>
          <w:szCs w:val="30"/>
        </w:rPr>
      </w:pPr>
      <w:r w:rsidRPr="00233D2C">
        <w:rPr>
          <w:rFonts w:ascii="Times New Roman" w:hAnsi="Times New Roman" w:cs="Times New Roman"/>
          <w:sz w:val="30"/>
          <w:szCs w:val="30"/>
        </w:rPr>
        <w:t>If you have unused chemicals that you wish to dispose, make an effort to find someone who may be able to use them, prior to submitting them for disposal.  This can save another lab the cost of purchasing the chemical, as well as saving the college the cost of its disposal.  However, if the chemical is no longer usable, or you are unable to find a new user, submit it to the EHS Office for proper disposal.</w:t>
      </w:r>
    </w:p>
    <w:p w:rsidR="00A115FA" w:rsidRPr="00233D2C" w:rsidRDefault="00A115FA" w:rsidP="00A115FA">
      <w:pPr>
        <w:ind w:firstLine="360"/>
        <w:jc w:val="both"/>
        <w:rPr>
          <w:rFonts w:ascii="Times New Roman" w:hAnsi="Times New Roman" w:cs="Times New Roman"/>
          <w:sz w:val="30"/>
          <w:szCs w:val="30"/>
        </w:rPr>
      </w:pPr>
      <w:r w:rsidRPr="00233D2C">
        <w:rPr>
          <w:rFonts w:ascii="Times New Roman" w:hAnsi="Times New Roman" w:cs="Times New Roman"/>
          <w:sz w:val="30"/>
          <w:szCs w:val="30"/>
        </w:rPr>
        <w:t xml:space="preserve">Laboratories are generally responsible for disposal of their own non-hazardous wastes, but the EHS Office is available to assist with determination of a proper disposal method.  Additionally, the EHS Office will remove the following non-hazardous wastes from laboratories.   These materials should </w:t>
      </w:r>
      <w:r w:rsidRPr="00233D2C">
        <w:rPr>
          <w:rFonts w:ascii="Times New Roman" w:hAnsi="Times New Roman" w:cs="Times New Roman"/>
          <w:b/>
          <w:bCs/>
          <w:sz w:val="30"/>
          <w:szCs w:val="30"/>
        </w:rPr>
        <w:t>not</w:t>
      </w:r>
      <w:r w:rsidRPr="00233D2C">
        <w:rPr>
          <w:rFonts w:ascii="Times New Roman" w:hAnsi="Times New Roman" w:cs="Times New Roman"/>
          <w:sz w:val="30"/>
          <w:szCs w:val="30"/>
        </w:rPr>
        <w:t xml:space="preserve"> be labeled “Hazardous Waste”.</w:t>
      </w:r>
    </w:p>
    <w:p w:rsidR="00A115FA" w:rsidRPr="00233D2C" w:rsidRDefault="00A115FA" w:rsidP="009C6833">
      <w:pPr>
        <w:widowControl/>
        <w:numPr>
          <w:ilvl w:val="0"/>
          <w:numId w:val="40"/>
        </w:numPr>
        <w:ind w:left="0"/>
        <w:jc w:val="both"/>
        <w:rPr>
          <w:rFonts w:ascii="Times New Roman" w:hAnsi="Times New Roman" w:cs="Times New Roman"/>
          <w:sz w:val="30"/>
          <w:szCs w:val="30"/>
        </w:rPr>
      </w:pPr>
      <w:r w:rsidRPr="00233D2C">
        <w:rPr>
          <w:rFonts w:ascii="Times New Roman" w:hAnsi="Times New Roman" w:cs="Times New Roman"/>
          <w:sz w:val="30"/>
          <w:szCs w:val="30"/>
        </w:rPr>
        <w:t>Sharps – including hypodermic syringes and needles.  These items are considered regulated medical waste and should be stored in a rigid plastic, leak-proof, puncture-resistant container, clearly marked “Sharps”.  The container must also be marked with the word “Biohazard” or a universal warning sign label.</w:t>
      </w:r>
    </w:p>
    <w:p w:rsidR="00A115FA" w:rsidRDefault="00A115FA" w:rsidP="009C6833">
      <w:pPr>
        <w:widowControl/>
        <w:numPr>
          <w:ilvl w:val="0"/>
          <w:numId w:val="40"/>
        </w:numPr>
        <w:ind w:left="0"/>
        <w:jc w:val="both"/>
        <w:rPr>
          <w:rFonts w:ascii="Times New Roman" w:hAnsi="Times New Roman" w:cs="Times New Roman"/>
          <w:sz w:val="30"/>
          <w:szCs w:val="30"/>
        </w:rPr>
      </w:pPr>
      <w:r w:rsidRPr="00233D2C">
        <w:rPr>
          <w:rFonts w:ascii="Times New Roman" w:hAnsi="Times New Roman" w:cs="Times New Roman"/>
          <w:sz w:val="30"/>
          <w:szCs w:val="30"/>
        </w:rPr>
        <w:t xml:space="preserve">Pump oil – This is not a hazardous waste, but it is regulated by New York State. Collect oil in an appropriate waste container, labeled “Used Pump Oil”.  Be careful not to mix oil with hazardous wastes.   </w:t>
      </w:r>
    </w:p>
    <w:p w:rsidR="00A115FA" w:rsidRPr="00233D2C" w:rsidRDefault="00A115FA" w:rsidP="009C6833">
      <w:pPr>
        <w:widowControl/>
        <w:numPr>
          <w:ilvl w:val="0"/>
          <w:numId w:val="40"/>
        </w:numPr>
        <w:ind w:left="0"/>
        <w:jc w:val="both"/>
        <w:rPr>
          <w:rFonts w:ascii="Times New Roman" w:hAnsi="Times New Roman" w:cs="Times New Roman"/>
          <w:sz w:val="30"/>
          <w:szCs w:val="30"/>
        </w:rPr>
      </w:pPr>
    </w:p>
    <w:p w:rsidR="00A115FA" w:rsidRDefault="00A115FA" w:rsidP="00A115FA">
      <w:pPr>
        <w:tabs>
          <w:tab w:val="left" w:pos="0"/>
        </w:tabs>
        <w:ind w:firstLine="724"/>
        <w:jc w:val="both"/>
        <w:rPr>
          <w:rFonts w:ascii="Times New Roman" w:hAnsi="Times New Roman" w:cs="Times New Roman"/>
          <w:sz w:val="30"/>
          <w:szCs w:val="30"/>
          <w:lang w:val="kk-KZ"/>
        </w:rPr>
      </w:pPr>
      <w:r w:rsidRPr="00233D2C">
        <w:rPr>
          <w:rFonts w:ascii="Times New Roman" w:hAnsi="Times New Roman" w:cs="Times New Roman"/>
          <w:b/>
          <w:bCs/>
          <w:sz w:val="30"/>
          <w:szCs w:val="30"/>
        </w:rPr>
        <w:t>2.1 Recycling of refinery and petrochemical effluents employing advanced multi-barrier systems</w:t>
      </w:r>
      <w:r w:rsidRPr="00233D2C">
        <w:rPr>
          <w:rFonts w:ascii="Times New Roman" w:hAnsi="Times New Roman" w:cs="Times New Roman"/>
          <w:sz w:val="30"/>
          <w:szCs w:val="30"/>
        </w:rPr>
        <w:tab/>
      </w:r>
    </w:p>
    <w:p w:rsidR="00A115FA" w:rsidRPr="00E3007F" w:rsidRDefault="00A115FA" w:rsidP="00A115FA">
      <w:pPr>
        <w:tabs>
          <w:tab w:val="left" w:pos="0"/>
        </w:tabs>
        <w:ind w:firstLine="724"/>
        <w:jc w:val="both"/>
        <w:rPr>
          <w:rFonts w:ascii="Times New Roman" w:hAnsi="Times New Roman" w:cs="Times New Roman"/>
          <w:color w:val="auto"/>
          <w:sz w:val="30"/>
          <w:szCs w:val="30"/>
          <w:lang w:val="kk-KZ"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In this context, industrial water recycling and reuse in Chennai the capital city of the state of Tamil Nadu is worthy of mention as a prime example. In this water-stressed city, reclaimed water (from secondary municipal effluent and internal effluents) is reused or recycled by industrial </w:t>
      </w:r>
      <w:r w:rsidRPr="00233D2C">
        <w:rPr>
          <w:rFonts w:ascii="Times New Roman" w:hAnsi="Times New Roman" w:cs="Times New Roman"/>
          <w:sz w:val="30"/>
          <w:szCs w:val="30"/>
        </w:rPr>
        <w:lastRenderedPageBreak/>
        <w:t>companies such as Chennai Petroleum Corporation Ltd (CPCL), Madras Fertilizer Ltd and Manali Petro Chemicals (Lahnsteiner 2010). The reason for reuse and recycling is the chronic water shortage in the Chennai metropolitan area, i.e. all available sources including seawater desalination have to be employed. Furthermore, it must be mentioned that whenever there is a drought, the authorities first cut off industry from the public water supply.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Another example is reclamation and recycling at the Indian Oil Corporation Ltd. (IOCL) refinery in the seaport town of Paradip, which is located on the Bay of Bengal in the state of Orissa. The major reason for recycling in this case is that reclaimed water is cheaper than seawater desalination. The reclamation plant employs an advanced multi-barrier system (including UF and RO) with a design capacity of 26,500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/day (reclaimed water, i.e. RO permeate) and will become operative in the second half of 2012. Apart from the reclamation plant, the overall wastewater management system includes the pre-treatment of different refinery effluents (e.g. wet air oxidation of spent caustic</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soda</w:t>
      </w:r>
      <w:proofErr w:type="gramEnd"/>
      <w:r w:rsidRPr="00233D2C">
        <w:rPr>
          <w:rFonts w:ascii="Times New Roman" w:hAnsi="Times New Roman" w:cs="Times New Roman"/>
          <w:sz w:val="30"/>
          <w:szCs w:val="30"/>
        </w:rPr>
        <w:t>), secondary biological treatment and the treatment of RO brine (removal of recalcitrant COD) by PAC adsorption.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this paper, recycling plants at the IOCL Panipat refinery and petrochemical complex are presented and compared. The original Panipat refinery (6 million metric tons per annum [MMTPA]) was commissioned in 1998 and the refinery expansion (doubling of refining capacity) commissioned in 2006. This expansion also included the petrochemical production of paraxylene (PX) and purified terephtalic acid (PTA), which form the basis for producing polyester staple fibres, polyester filament yarns and other resins. The Panipat Refinery Expansion Water Reclamation Plant (PRE-WRP), which treats both secondary refinery effluents and various refinery/petrochemical process effluents, was commissioned at the end of 2006. In 2009 the refinery was further expanded to 15 MMTPA. The naphtha cracker and its downstream polymer units (Naphtha Cracker Complex) were commissioned in 2010. The Panipat Naphtha Cracker Water Reclamation Plant (PNC-WRP), which is virtually identical with the PRE-WRP (practically the same process and hydraulic capacity but with a different RO design) and reclaims process water from naphtha cracker secondary effluent, cooling tower blow-downs and demineralisation regenerates, went on-line in June 2010.</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IOCL is India’s largest commercial enterprise and was ranked 125</w:t>
      </w:r>
      <w:r w:rsidRPr="00233D2C">
        <w:rPr>
          <w:rFonts w:ascii="Times New Roman" w:hAnsi="Times New Roman" w:cs="Times New Roman"/>
          <w:sz w:val="30"/>
          <w:szCs w:val="30"/>
          <w:vertAlign w:val="superscript"/>
        </w:rPr>
        <w:t>th</w:t>
      </w:r>
      <w:r w:rsidRPr="00233D2C">
        <w:rPr>
          <w:rFonts w:ascii="Times New Roman" w:hAnsi="Times New Roman" w:cs="Times New Roman"/>
          <w:sz w:val="30"/>
          <w:szCs w:val="30"/>
        </w:rPr>
        <w:t xml:space="preserve"> on the Fortune Global 500 list in 2010. It owns and operates ten of India’s 19 refineries with a combined refining capacity of 65.7 million metric tons per annum (MMTPA).</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Panipat is located in Haryana State, 90 km northwest of Delhi. Annual precipitation totals approx. 500 mm, but over 70 % of this rainfall occurs </w:t>
      </w:r>
      <w:r w:rsidRPr="00233D2C">
        <w:rPr>
          <w:rFonts w:ascii="Times New Roman" w:hAnsi="Times New Roman" w:cs="Times New Roman"/>
          <w:sz w:val="30"/>
          <w:szCs w:val="30"/>
        </w:rPr>
        <w:lastRenderedPageBreak/>
        <w:t>during the monsoon months of July to September. Nevertheless, there is practically no water shortage in the Panipat region due to the availability of sufficient surface water (river water). The Panipat Refinery is located in farmland irrigated by the Yamuna canal, which is used mainly for potable water production and agricultural irrigation and thus cannot be employed as a recipient. Therefore, rather than due to a lack of water for industrial use, reclamation plants have been installed to meet stringent governmental regulations (zero liquid discharge in the mid-term) and prevent the pollution of nearby water bodies. Water losses during the refining processes are compensated for by fresh water from the Yamuna canal. The reclamation of secondary municipal effluent was not considered due to the availability of sufficient volumes of fresh water, the distance between the municipal sewage treatment plant and the refinery, and the installation of zero liquid discharge facilities in the mid-term.</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METHODOLOGY</w:t>
      </w:r>
    </w:p>
    <w:p w:rsidR="00A115FA" w:rsidRDefault="00A115FA" w:rsidP="00A115FA">
      <w:pPr>
        <w:ind w:firstLine="724"/>
        <w:jc w:val="both"/>
        <w:rPr>
          <w:rFonts w:ascii="Times New Roman" w:hAnsi="Times New Roman" w:cs="Times New Roman"/>
          <w:sz w:val="30"/>
          <w:szCs w:val="30"/>
          <w:lang w:val="kk-KZ"/>
        </w:rPr>
      </w:pPr>
      <w:r w:rsidRPr="00233D2C">
        <w:rPr>
          <w:rFonts w:ascii="Times New Roman" w:hAnsi="Times New Roman" w:cs="Times New Roman"/>
          <w:sz w:val="30"/>
          <w:szCs w:val="30"/>
        </w:rPr>
        <w:t>In both cases, advanced multi-barrier systems have been utilised in order to meet the strict quality requirements for the recycling as boiler make-up water. As mentioned above, both reclamation plants are located at the Panipat Refinery and Petrochemical Complex, VA TECH WABAG India having been commissioned with their construction, operation and surveillance. The following represents a description of the two cases.</w:t>
      </w:r>
    </w:p>
    <w:p w:rsidR="00A115FA" w:rsidRPr="00233D2C" w:rsidRDefault="00A115FA" w:rsidP="00A115FA">
      <w:pPr>
        <w:ind w:firstLine="724"/>
        <w:jc w:val="both"/>
        <w:rPr>
          <w:rFonts w:ascii="Times New Roman" w:hAnsi="Times New Roman" w:cs="Times New Roman"/>
          <w:color w:val="auto"/>
          <w:sz w:val="30"/>
          <w:szCs w:val="30"/>
          <w:lang w:val="kk-KZ"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357245" cy="2265680"/>
            <wp:effectExtent l="0" t="0" r="0" b="1270"/>
            <wp:docPr id="6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57245" cy="226568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 Water reclamation and recycling process diagram - PRE-WRP</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5322570" cy="1528445"/>
            <wp:effectExtent l="0" t="0" r="0" b="0"/>
            <wp:docPr id="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2570" cy="152844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2 High rate clarifier (left), sand filtration and mixed bed ion-</w:t>
      </w:r>
      <w:r w:rsidRPr="00233D2C">
        <w:rPr>
          <w:rFonts w:ascii="Times New Roman" w:hAnsi="Times New Roman" w:cs="Times New Roman"/>
          <w:sz w:val="30"/>
          <w:szCs w:val="30"/>
        </w:rPr>
        <w:lastRenderedPageBreak/>
        <w:t>exchanger (right)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3 shows a 3D drawing of the PRE-WRP process steps sand filtration, ultrafiltration, reverse osmosis and mixed bed ion exchanger, which are contained in a building (the high rate clarifiers are as can be seen above in the open air).</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Reverse Osmosis ill</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630295" cy="2019935"/>
            <wp:effectExtent l="0" t="0" r="8255" b="0"/>
            <wp:docPr id="6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0295" cy="201993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Figure 3 3D PRE-WRP </w:t>
      </w:r>
      <w:proofErr w:type="gramStart"/>
      <w:r w:rsidRPr="00233D2C">
        <w:rPr>
          <w:rFonts w:ascii="Times New Roman" w:hAnsi="Times New Roman" w:cs="Times New Roman"/>
          <w:sz w:val="30"/>
          <w:szCs w:val="30"/>
        </w:rPr>
        <w:t>representation</w:t>
      </w:r>
      <w:proofErr w:type="gramEnd"/>
    </w:p>
    <w:p w:rsidR="00A115FA" w:rsidRDefault="00A115FA" w:rsidP="00A115FA">
      <w:pPr>
        <w:ind w:firstLine="724"/>
        <w:jc w:val="both"/>
        <w:rPr>
          <w:rFonts w:ascii="Times New Roman" w:hAnsi="Times New Roman" w:cs="Times New Roman"/>
          <w:sz w:val="30"/>
          <w:szCs w:val="30"/>
          <w:lang w:val="kk-KZ"/>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Basically, the reclamation plants (design capacity = 900 for PRE-WRP and 871 m /h for PNC- WRP) incorporate high rate clarification, pressure sand filtration, ultrafiltration (UF) and reverse osmosis (RO) phases. The RO permeate is polished by mixed bed ion exchange filters and is then mostly recycled as boiler make-up water for the refinery and naphtha cracker power plants. Figure 1 shows the process flow diagram, which is more or less representative for both reclamation plants. The major difference is in the RO design (three stages in PRE-WRP, two stages in PNC-WRP). Figure 2 shows the PRE-WRP process units high rate clarification (left), as well as sand filtration and mixed bed ion-exchanger (right).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Membrane process steps in both plants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same UF and RO membranes are employed in both plants. The ultrafiltration process steps consist of pressure-driven, inside-out, hollow fibre systems (X-Flow Xiga; Table 3). Both systems are operated in a dead-end mode. The major task of the UF is to reduce the silt density index (SDI) and remove turbidity, as well as suspended and colloidal matter, in order to minimise fouling of the downstream reverse osmosis process step. The UF membrane fouling caused by the aforementioned impurities is removed by regular backwashing with permeate. The backwash is enhanced once a day in both UF plants using chemicals (chemical enhanced backwash - CEB with caustic NaOCl and HCl). As can be seen in Table 3, both UF systems were designed with a comparable flux (46 2 2 2 L/m h resp. 44 L/m h net flux). The resulting membrane areas are 16,416 m for the PRE-WRP</w:t>
      </w:r>
    </w:p>
    <w:p w:rsidR="00A115FA" w:rsidRDefault="00A115FA" w:rsidP="00A115FA">
      <w:pPr>
        <w:ind w:firstLine="724"/>
        <w:jc w:val="both"/>
        <w:rPr>
          <w:rFonts w:ascii="Times New Roman" w:hAnsi="Times New Roman" w:cs="Times New Roman"/>
          <w:sz w:val="30"/>
          <w:szCs w:val="30"/>
          <w:lang w:val="kk-KZ"/>
        </w:rPr>
      </w:pPr>
      <w:proofErr w:type="gramStart"/>
      <w:r w:rsidRPr="00233D2C">
        <w:rPr>
          <w:rFonts w:ascii="Times New Roman" w:hAnsi="Times New Roman" w:cs="Times New Roman"/>
          <w:sz w:val="30"/>
          <w:szCs w:val="30"/>
        </w:rPr>
        <w:t>UF and 17,280 m</w:t>
      </w:r>
      <w:r w:rsidRPr="00233D2C">
        <w:rPr>
          <w:rFonts w:ascii="Times New Roman" w:hAnsi="Times New Roman" w:cs="Times New Roman"/>
          <w:sz w:val="30"/>
          <w:szCs w:val="30"/>
          <w:vertAlign w:val="superscript"/>
        </w:rPr>
        <w:t>2</w:t>
      </w:r>
      <w:r w:rsidRPr="00233D2C">
        <w:rPr>
          <w:rFonts w:ascii="Times New Roman" w:hAnsi="Times New Roman" w:cs="Times New Roman"/>
          <w:sz w:val="30"/>
          <w:szCs w:val="30"/>
        </w:rPr>
        <w:t xml:space="preserve"> for the PNC-WRP UF.</w:t>
      </w:r>
      <w:proofErr w:type="gramEnd"/>
      <w:r w:rsidRPr="00233D2C">
        <w:rPr>
          <w:rFonts w:ascii="Times New Roman" w:hAnsi="Times New Roman" w:cs="Times New Roman"/>
          <w:sz w:val="30"/>
          <w:szCs w:val="30"/>
        </w:rPr>
        <w:t xml:space="preserve"> The retentate of the PRE-WRP UF process step is recycled to the equalisation tanks (feed collection </w:t>
      </w:r>
      <w:r w:rsidRPr="00233D2C">
        <w:rPr>
          <w:rFonts w:ascii="Times New Roman" w:hAnsi="Times New Roman" w:cs="Times New Roman"/>
          <w:sz w:val="30"/>
          <w:szCs w:val="30"/>
        </w:rPr>
        <w:lastRenderedPageBreak/>
        <w:t>tanks) upstream of the pre-treatment stages of the reclamation plant. The retentate of the PNC-WRP UF is reused in the fire fighting water system together with the dual media filter backwash water, the RO II brine and the mixed bed ion-exchanger regenerate.</w:t>
      </w:r>
    </w:p>
    <w:p w:rsidR="00A115FA" w:rsidRDefault="00A115FA" w:rsidP="00A115FA">
      <w:pPr>
        <w:ind w:firstLine="724"/>
        <w:jc w:val="both"/>
        <w:rPr>
          <w:rFonts w:ascii="Times New Roman" w:hAnsi="Times New Roman" w:cs="Times New Roman"/>
          <w:sz w:val="30"/>
          <w:szCs w:val="30"/>
          <w:lang w:val="kk-KZ"/>
        </w:rPr>
      </w:pPr>
    </w:p>
    <w:p w:rsidR="00A115FA" w:rsidRPr="00233D2C" w:rsidRDefault="00A115FA" w:rsidP="00A115FA">
      <w:pPr>
        <w:ind w:firstLine="724"/>
        <w:jc w:val="both"/>
        <w:rPr>
          <w:rFonts w:ascii="Times New Roman" w:hAnsi="Times New Roman" w:cs="Times New Roman"/>
          <w:color w:val="auto"/>
          <w:sz w:val="30"/>
          <w:szCs w:val="30"/>
          <w:lang w:val="kk-KZ"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Table 3 Ultrafiltration design parameters</w:t>
      </w:r>
    </w:p>
    <w:tbl>
      <w:tblPr>
        <w:tblW w:w="0" w:type="auto"/>
        <w:tblInd w:w="5" w:type="dxa"/>
        <w:tblLayout w:type="fixed"/>
        <w:tblCellMar>
          <w:left w:w="0" w:type="dxa"/>
          <w:right w:w="0" w:type="dxa"/>
        </w:tblCellMar>
        <w:tblLook w:val="0000" w:firstRow="0" w:lastRow="0" w:firstColumn="0" w:lastColumn="0" w:noHBand="0" w:noVBand="0"/>
      </w:tblPr>
      <w:tblGrid>
        <w:gridCol w:w="2563"/>
        <w:gridCol w:w="2539"/>
        <w:gridCol w:w="2554"/>
      </w:tblGrid>
      <w:tr w:rsidR="00A115FA" w:rsidRPr="00233D2C" w:rsidTr="00A115FA">
        <w:trPr>
          <w:trHeight w:val="298"/>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Membrane parameters</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PRE-WRP</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PNC-WRP</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Membrane material</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Hollow fibre polyether-sulfone</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Hollow fibre polyether-sulfone</w:t>
            </w:r>
          </w:p>
        </w:tc>
      </w:tr>
      <w:tr w:rsidR="00A115FA" w:rsidRPr="00233D2C" w:rsidTr="00A115FA">
        <w:trPr>
          <w:trHeight w:val="307"/>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Average feed flow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/h]</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894</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870</w:t>
            </w:r>
          </w:p>
        </w:tc>
      </w:tr>
      <w:tr w:rsidR="00A115FA" w:rsidRPr="00233D2C" w:rsidTr="00A115FA">
        <w:trPr>
          <w:trHeight w:val="302"/>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Design gross flux [L/m</w:t>
            </w:r>
            <w:r w:rsidRPr="00233D2C">
              <w:rPr>
                <w:rFonts w:ascii="Times New Roman" w:hAnsi="Times New Roman" w:cs="Times New Roman"/>
                <w:sz w:val="30"/>
                <w:szCs w:val="30"/>
                <w:vertAlign w:val="superscript"/>
              </w:rPr>
              <w:t>2</w:t>
            </w:r>
            <w:r w:rsidRPr="00233D2C">
              <w:rPr>
                <w:rFonts w:ascii="Times New Roman" w:hAnsi="Times New Roman" w:cs="Times New Roman"/>
                <w:sz w:val="30"/>
                <w:szCs w:val="30"/>
              </w:rPr>
              <w:t>-h]</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54</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50</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Design permeate flow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/h]</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760</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766</w:t>
            </w:r>
          </w:p>
        </w:tc>
      </w:tr>
      <w:tr w:rsidR="00A115FA" w:rsidRPr="00233D2C" w:rsidTr="00A115FA">
        <w:trPr>
          <w:trHeight w:val="307"/>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Design net flux [L/m</w:t>
            </w:r>
            <w:r w:rsidRPr="00233D2C">
              <w:rPr>
                <w:rFonts w:ascii="Times New Roman" w:hAnsi="Times New Roman" w:cs="Times New Roman"/>
                <w:sz w:val="30"/>
                <w:szCs w:val="30"/>
                <w:vertAlign w:val="superscript"/>
              </w:rPr>
              <w:t>2</w:t>
            </w:r>
            <w:r w:rsidRPr="00233D2C">
              <w:rPr>
                <w:rFonts w:ascii="Times New Roman" w:hAnsi="Times New Roman" w:cs="Times New Roman"/>
                <w:sz w:val="30"/>
                <w:szCs w:val="30"/>
              </w:rPr>
              <w:t>-h]</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46</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44</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Recovery [%]</w:t>
            </w:r>
          </w:p>
        </w:tc>
        <w:tc>
          <w:tcPr>
            <w:tcW w:w="2539"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85</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88</w:t>
            </w:r>
          </w:p>
        </w:tc>
      </w:tr>
      <w:tr w:rsidR="00A115FA" w:rsidRPr="00233D2C" w:rsidTr="00A115FA">
        <w:trPr>
          <w:trHeight w:val="288"/>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Skids</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6 (+ 1 standby)</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6 (+ 1 standby)</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Pressure vessels/skid</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18</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18</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Vessels total</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108</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108</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Elements/vessel</w:t>
            </w:r>
          </w:p>
        </w:tc>
        <w:tc>
          <w:tcPr>
            <w:tcW w:w="2539"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w:t>
            </w:r>
          </w:p>
        </w:tc>
        <w:tc>
          <w:tcPr>
            <w:tcW w:w="2554" w:type="dxa"/>
            <w:tcBorders>
              <w:top w:val="single" w:sz="4" w:space="0" w:color="auto"/>
              <w:left w:val="single" w:sz="4" w:space="0" w:color="auto"/>
              <w:bottom w:val="nil"/>
              <w:right w:val="single" w:sz="4" w:space="0" w:color="auto"/>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w:t>
            </w:r>
          </w:p>
        </w:tc>
      </w:tr>
      <w:tr w:rsidR="00A115FA" w:rsidRPr="00233D2C" w:rsidTr="00A115FA">
        <w:trPr>
          <w:trHeight w:val="293"/>
        </w:trPr>
        <w:tc>
          <w:tcPr>
            <w:tcW w:w="2563"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Elements total</w:t>
            </w:r>
          </w:p>
        </w:tc>
        <w:tc>
          <w:tcPr>
            <w:tcW w:w="2539"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432</w:t>
            </w:r>
          </w:p>
        </w:tc>
        <w:tc>
          <w:tcPr>
            <w:tcW w:w="2554" w:type="dxa"/>
            <w:tcBorders>
              <w:top w:val="single" w:sz="4" w:space="0" w:color="auto"/>
              <w:left w:val="single" w:sz="4" w:space="0" w:color="auto"/>
              <w:bottom w:val="nil"/>
              <w:right w:val="single" w:sz="4" w:space="0" w:color="auto"/>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432</w:t>
            </w:r>
          </w:p>
        </w:tc>
      </w:tr>
      <w:tr w:rsidR="00A115FA" w:rsidRPr="00233D2C" w:rsidTr="00A115FA">
        <w:trPr>
          <w:trHeight w:val="302"/>
        </w:trPr>
        <w:tc>
          <w:tcPr>
            <w:tcW w:w="2563"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Membrane area/element [m</w:t>
            </w:r>
            <w:r w:rsidRPr="00233D2C">
              <w:rPr>
                <w:rFonts w:ascii="Times New Roman" w:hAnsi="Times New Roman" w:cs="Times New Roman"/>
                <w:sz w:val="30"/>
                <w:szCs w:val="30"/>
                <w:vertAlign w:val="superscript"/>
              </w:rPr>
              <w:t>2</w:t>
            </w:r>
            <w:r w:rsidRPr="00233D2C">
              <w:rPr>
                <w:rFonts w:ascii="Times New Roman" w:hAnsi="Times New Roman" w:cs="Times New Roman"/>
                <w:sz w:val="30"/>
                <w:szCs w:val="30"/>
              </w:rPr>
              <w:t>]</w:t>
            </w:r>
          </w:p>
        </w:tc>
        <w:tc>
          <w:tcPr>
            <w:tcW w:w="2539"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38</w:t>
            </w:r>
          </w:p>
        </w:tc>
        <w:tc>
          <w:tcPr>
            <w:tcW w:w="2554"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40</w:t>
            </w:r>
          </w:p>
        </w:tc>
      </w:tr>
      <w:tr w:rsidR="00A115FA" w:rsidRPr="00233D2C" w:rsidTr="00A115FA">
        <w:trPr>
          <w:trHeight w:val="317"/>
        </w:trPr>
        <w:tc>
          <w:tcPr>
            <w:tcW w:w="2563" w:type="dxa"/>
            <w:tcBorders>
              <w:top w:val="single" w:sz="4" w:space="0" w:color="auto"/>
              <w:left w:val="single" w:sz="4" w:space="0" w:color="auto"/>
              <w:bottom w:val="single" w:sz="4" w:space="0" w:color="auto"/>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Membrane area [m</w:t>
            </w:r>
            <w:r w:rsidRPr="00233D2C">
              <w:rPr>
                <w:rFonts w:ascii="Times New Roman" w:hAnsi="Times New Roman" w:cs="Times New Roman"/>
                <w:sz w:val="30"/>
                <w:szCs w:val="30"/>
                <w:vertAlign w:val="superscript"/>
              </w:rPr>
              <w:t>2</w:t>
            </w:r>
            <w:r w:rsidRPr="00233D2C">
              <w:rPr>
                <w:rFonts w:ascii="Times New Roman" w:hAnsi="Times New Roman" w:cs="Times New Roman"/>
                <w:sz w:val="30"/>
                <w:szCs w:val="30"/>
              </w:rPr>
              <w:t>]</w:t>
            </w:r>
          </w:p>
        </w:tc>
        <w:tc>
          <w:tcPr>
            <w:tcW w:w="2539" w:type="dxa"/>
            <w:tcBorders>
              <w:top w:val="single" w:sz="4" w:space="0" w:color="auto"/>
              <w:left w:val="single" w:sz="4" w:space="0" w:color="auto"/>
              <w:bottom w:val="single" w:sz="4" w:space="0" w:color="auto"/>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16,416</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17,280</w:t>
            </w:r>
          </w:p>
        </w:tc>
      </w:tr>
    </w:tbl>
    <w:p w:rsidR="00A115FA" w:rsidRPr="00233D2C" w:rsidRDefault="00A115FA" w:rsidP="00A115FA">
      <w:pPr>
        <w:ind w:firstLine="724"/>
        <w:jc w:val="both"/>
        <w:rPr>
          <w:rFonts w:ascii="Times New Roman" w:hAnsi="Times New Roman" w:cs="Times New Roman"/>
          <w:sz w:val="30"/>
          <w:szCs w:val="30"/>
        </w:rPr>
      </w:pPr>
    </w:p>
    <w:p w:rsidR="00A115FA" w:rsidRDefault="00A115FA" w:rsidP="00A115FA">
      <w:pPr>
        <w:ind w:firstLine="724"/>
        <w:jc w:val="both"/>
        <w:rPr>
          <w:rFonts w:ascii="Times New Roman" w:hAnsi="Times New Roman" w:cs="Times New Roman"/>
          <w:sz w:val="30"/>
          <w:szCs w:val="30"/>
          <w:lang w:val="kk-KZ"/>
        </w:rPr>
      </w:pPr>
      <w:r w:rsidRPr="00233D2C">
        <w:rPr>
          <w:rFonts w:ascii="Times New Roman" w:hAnsi="Times New Roman" w:cs="Times New Roman"/>
          <w:sz w:val="30"/>
          <w:szCs w:val="30"/>
        </w:rPr>
        <w:t xml:space="preserve">In the refinery reclamation plant (PRE-WRP), a two-pass RO system is employed in combination with a brine concentrator. Figure 4 shows the PRE-WRP ultrafiltration and reverse osmosis (first pass) process units. The UF permeate is fed to RO pass I (three internal stages; low fouling composite membranes; Hydranautics LFC 3). The RO I permeate is further desalinated in RO pass II (three internal stages; low fouling composite membranes) and the RO I reject is fed to the brine concentrator (two internal stages; seawater membranes; Hydranautics SWC 3). The brine concentrator permeate is recycled to RO II. The recovery rate accomplished by this process configuration is 90 %. The RO II permeate is degassed and in order to allow the further removal of dissolved solids, polished in mixed bed ion-exchangers containing strong acid cat-ion and strong base an-ion resins mixed in a single </w:t>
      </w:r>
      <w:r w:rsidRPr="00233D2C">
        <w:rPr>
          <w:rFonts w:ascii="Times New Roman" w:hAnsi="Times New Roman" w:cs="Times New Roman"/>
          <w:sz w:val="30"/>
          <w:szCs w:val="30"/>
        </w:rPr>
        <w:lastRenderedPageBreak/>
        <w:t>vessel. As previously mentioned, the authorities have stipulated that the refinery has to achieve zero liquid discharge. However, it has temporary permission to dispose of the liquid waste produced in the reclamation process (R.O. brine). Currently 100 % of the brine is used for refinery coke quenching. Other options are to blend the brine with fire-fighting water, or to use it for the irrigation (blended with low TDS water) of the free land along the refinery</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perimeter in order to provide green spaces (14 km long “green belt”). Nonetheless, in the mid-term this official request will be met through the installation and operation of evaporation and crystallisation.</w:t>
      </w:r>
    </w:p>
    <w:p w:rsidR="00A115FA" w:rsidRPr="00233D2C" w:rsidRDefault="00A115FA" w:rsidP="00A115FA">
      <w:pPr>
        <w:ind w:firstLine="724"/>
        <w:jc w:val="both"/>
        <w:rPr>
          <w:rFonts w:ascii="Times New Roman" w:hAnsi="Times New Roman" w:cs="Times New Roman"/>
          <w:color w:val="auto"/>
          <w:sz w:val="30"/>
          <w:szCs w:val="30"/>
          <w:lang w:val="kk-KZ"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4926965" cy="1610360"/>
            <wp:effectExtent l="0" t="0" r="6985" b="8890"/>
            <wp:docPr id="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6965" cy="161036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4 The PRE-WRP ultrafiltration and reverse osmosis (first pass) process units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Due to the lower design TDS concentration (800 mg/L) in the PNC-WRP, a single-pass RO system is utilised in combination with a brine concentrator. The UF permeate is fed to the first RO (three internal stages; low fouling composite membranes; Hydranautics LFC 3) and the concentrate from this stage is further treated in the brine concentrator (two internal stages; low fouling composite membranes; Hydranautics LFC 3). The recovery rate accomplished by this RO process configuration is also 90 %. Permeate from RO I (TDS &lt; 15 mg/L) is polished in the mixed bed ion- exchangers and then recycled as boiler make-up. RO II permeate (TDS &lt; 292 mg/L) is blended with treated raw water (Yamuna Canal water; TDS 292 mg/L) and reused mainly as cooling tower make</w:t>
      </w:r>
      <w:r w:rsidRPr="00233D2C">
        <w:rPr>
          <w:rFonts w:ascii="Times New Roman" w:hAnsi="Times New Roman" w:cs="Times New Roman"/>
          <w:sz w:val="30"/>
          <w:szCs w:val="30"/>
        </w:rPr>
        <w:softHyphen/>
        <w:t>up. As previously mentioned, the brine from RO II is mixed with dual media filter backwash water, UF backwash water and the regenerate from the mixed bed ion exchangers, and then reused in the fire-fighting water system. The reclamation plant can be operated flexibly, e.g. in case of poor effluent quality the plant can also be operated solely with water from the Yamuna Canal (TDS = 292 mg/L). Furthermore, the amounts of demineralised water (boiler make-up) and RO II permeate (process water) can be adjusted according to the demands on either source.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The realisation of the Panipat Refinery, Refinery Expansion and Naphtha Cracker projects is representative of India’s rapid industrial growth and economic development. Water management (process water production, </w:t>
      </w:r>
      <w:r w:rsidRPr="00233D2C">
        <w:rPr>
          <w:rFonts w:ascii="Times New Roman" w:hAnsi="Times New Roman" w:cs="Times New Roman"/>
          <w:sz w:val="30"/>
          <w:szCs w:val="30"/>
        </w:rPr>
        <w:lastRenderedPageBreak/>
        <w:t>effluent treatment, water reclamation and recycling) is a key factor in this context. At Panipat, water reclamation and recycling are essential, as no proper recipient is available and therefore the environmental authorities have requested that zero liquid discharge be implemented in the near future. Advanced technologies such as membrane filtration are of major significance, especially where the functioning of industrial (refinery and petrochemical) processes has to be guaranteed. With this in view, it is also important that the advanced multi-barrier systems employed are operated and monitored by an experienced water technology specialist. Apart from environmental protection and the reliable provision of process water (mainly boiler make-up), large quantities of freshwater can be saved. This boosts the security of the industrial water supply, which could be endangered in the future due to increased demands for freshwater for agricultural and potable purposes. Last, but not least, it can be concluded that the water recycling practice described constitutes a major factor in sustainable development (environmental, social and economic) in the Panipat region.</w:t>
      </w:r>
    </w:p>
    <w:p w:rsidR="00A115FA" w:rsidRPr="00233D2C" w:rsidRDefault="00A115FA" w:rsidP="00A115FA">
      <w:pPr>
        <w:ind w:firstLine="724"/>
        <w:jc w:val="both"/>
        <w:rPr>
          <w:rFonts w:ascii="Times New Roman" w:hAnsi="Times New Roman" w:cs="Times New Roman"/>
          <w:sz w:val="30"/>
          <w:szCs w:val="30"/>
          <w:lang w:val="kk-KZ"/>
        </w:rPr>
      </w:pPr>
    </w:p>
    <w:p w:rsidR="00A115FA" w:rsidRPr="00233D2C" w:rsidRDefault="00A115FA" w:rsidP="00A115FA">
      <w:pPr>
        <w:ind w:firstLine="724"/>
        <w:jc w:val="both"/>
        <w:outlineLvl w:val="1"/>
        <w:rPr>
          <w:rFonts w:ascii="Times New Roman" w:hAnsi="Times New Roman" w:cs="Times New Roman"/>
          <w:b/>
          <w:bCs/>
          <w:color w:val="auto"/>
          <w:sz w:val="30"/>
          <w:szCs w:val="30"/>
          <w:lang w:eastAsia="ru-RU"/>
        </w:rPr>
      </w:pPr>
      <w:r w:rsidRPr="00233D2C">
        <w:rPr>
          <w:rFonts w:ascii="Times New Roman" w:hAnsi="Times New Roman" w:cs="Times New Roman"/>
          <w:b/>
          <w:sz w:val="30"/>
          <w:szCs w:val="30"/>
        </w:rPr>
        <w:t>2.2</w:t>
      </w:r>
      <w:r w:rsidRPr="00233D2C">
        <w:rPr>
          <w:rFonts w:ascii="Times New Roman" w:hAnsi="Times New Roman" w:cs="Times New Roman"/>
          <w:b/>
          <w:sz w:val="30"/>
          <w:szCs w:val="30"/>
          <w:lang w:val="kk-KZ"/>
        </w:rPr>
        <w:t xml:space="preserve"> </w:t>
      </w:r>
      <w:r w:rsidRPr="00233D2C">
        <w:rPr>
          <w:rFonts w:ascii="Times New Roman" w:hAnsi="Times New Roman" w:cs="Times New Roman"/>
          <w:b/>
          <w:bCs/>
          <w:sz w:val="30"/>
          <w:szCs w:val="30"/>
        </w:rPr>
        <w:t>Technological processing of oil waste</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Quick increase of the scientific and technological revolution temps and influence of human on the nature becomes more and more powerful each year. A numerous toxic substances are emitted into the biosphere and that leads to undesirable effects [1]. Every year about 30 billion tons of fossil fuels are extracted for satisfying of human needs, at the same time about 100-150 billion tons of subsoil are moved. During the further recovery processes the substation part of extracted fuels which are not the part of economic goods, becomes a waste. Although in XX century the negative influence of the waste on biosphere was smoothed by nature processes, in last decades the size of human activity leads to the edge of ecological disaster. One of the most polluting branches is petrochemical industry. That’s why, the recovery of oil waste is one of the most actual ecological problems Oil waste is one of the most dangerous component of natural environment. Oil waste is a strong polydisperse system that is formed as a product of oil, water and mechanical admixtures interaction. An oxidation of organic part of the waste by the oxygen of air and catalityc action of metals of this oxidation have a great impact on the formation of such system and lead to formation of resinous substances. The average oil waste consists of oil component (35-45%), mechanical admixtures (under 35%) and water (20-30%). The composition of oil waste may be various and depends on place and period of its formation. This circumstance may strongly complicate the problem of waste utilization. Considering all main world tendencies in petrochemical industry, it should be mentioned that Ukrainian oil refineries realize the closed cycle principle </w:t>
      </w:r>
      <w:r w:rsidRPr="00233D2C">
        <w:rPr>
          <w:rFonts w:ascii="Times New Roman" w:hAnsi="Times New Roman" w:cs="Times New Roman"/>
          <w:sz w:val="30"/>
          <w:szCs w:val="30"/>
        </w:rPr>
        <w:lastRenderedPageBreak/>
        <w:t xml:space="preserve">which means using waste as a raw in technological process. This way allows </w:t>
      </w:r>
      <w:proofErr w:type="gramStart"/>
      <w:r w:rsidRPr="00233D2C">
        <w:rPr>
          <w:rFonts w:ascii="Times New Roman" w:hAnsi="Times New Roman" w:cs="Times New Roman"/>
          <w:sz w:val="30"/>
          <w:szCs w:val="30"/>
        </w:rPr>
        <w:t>to create a technology with the least amount of waste and decrease the negative influence of waste on the environment and produce</w:t>
      </w:r>
      <w:proofErr w:type="gramEnd"/>
      <w:r w:rsidRPr="00233D2C">
        <w:rPr>
          <w:rFonts w:ascii="Times New Roman" w:hAnsi="Times New Roman" w:cs="Times New Roman"/>
          <w:sz w:val="30"/>
          <w:szCs w:val="30"/>
        </w:rPr>
        <w:t xml:space="preserve"> the great amount of secondary raw as well. All kinds of oil wastes at the oil refineries are traditionally collected and kept in the special vessels, which are called waste collectors (or slurry tanks), and are divided into three layers: the upper one is emulsion, the middle is waste water and the lower is a sediment with a big amount of mechanical admixtures. These collectors occupy the large territory, which is completely excluded from the agriculture. The technologies, which are used for oil waste processing, can be divided into the following groups: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Thermal: Burning in the different types of ovens, formation of asphalt residue;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Physical: Saving into the deep geological repository, separation in the centrifugal field, vacuum filtration and filtration under the pressure;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Chemical: Extraction by solvents (solidification by using cement, glass or clay) or organic additions (epoxy or polystyrene resin etc.)</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Physical and Chemical: Using special reagents that change physical and chemical properties with further processing on the appropriate facilities;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Biological: Microbiological decomposition in the ground directly in the place of keeping and biothermical decomposition;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Difficulty of oil waste recovery is determined by the following factors: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Oil waste is a hardly-separated emulsion;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Oil waste has its own features about the environmental safety;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Oil waste provokes corrosion and this circumstance requires using high-quality sorts of metal for equipment production.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Among all existing methods of waste recovery and utilization, the most effective are: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Delivery of waste to the refinery, where bruiqetted fuel is produced;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 Chemical rendering harmless. In this case, petroleum substances of waste are combined by reagent (quicklime and surfactants (CaO: </w:t>
      </w:r>
      <w:r w:rsidRPr="00233D2C">
        <w:rPr>
          <w:rFonts w:ascii="Times New Roman" w:hAnsi="Times New Roman" w:cs="Times New Roman"/>
          <w:sz w:val="30"/>
          <w:szCs w:val="30"/>
          <w:lang w:val="en-GB" w:eastAsia="ru-RU"/>
        </w:rPr>
        <w:t>92</w:t>
      </w:r>
      <w:r w:rsidRPr="00233D2C">
        <w:rPr>
          <w:rFonts w:ascii="Times New Roman" w:hAnsi="Times New Roman" w:cs="Times New Roman"/>
          <w:sz w:val="30"/>
          <w:szCs w:val="30"/>
          <w:lang w:val="en-GB" w:eastAsia="ru-RU"/>
        </w:rPr>
        <w:softHyphen/>
        <w:t>93%,</w:t>
      </w:r>
      <w:r w:rsidRPr="00233D2C">
        <w:rPr>
          <w:rFonts w:ascii="Times New Roman" w:hAnsi="Times New Roman" w:cs="Times New Roman"/>
          <w:sz w:val="30"/>
          <w:szCs w:val="30"/>
        </w:rPr>
        <w:t xml:space="preserve"> Synthetic detergents: 7-8%)) and as a result the non-toxic product is produced and this product may be used as a construction material)</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Mechanical separation into the components: water, mechanical admixtures, petroleum products by centrifuges, separators and decanters [2].</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Mechanical destruction of stable water-oil emulsions is based on technological method of artificial changing of concentration of disperse phase with further coalescence of small drops of this phase.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A great amount of technological facilities which provide the interfacial separation of oil waste have designed nowadays. These facilities include separators, centrifuges and hydro cyclones. Very often the filtration is used as an effective way to separate the inverse emulsions mechanically. The </w:t>
      </w:r>
      <w:r w:rsidRPr="00233D2C">
        <w:rPr>
          <w:rFonts w:ascii="Times New Roman" w:hAnsi="Times New Roman" w:cs="Times New Roman"/>
          <w:sz w:val="30"/>
          <w:szCs w:val="30"/>
        </w:rPr>
        <w:lastRenderedPageBreak/>
        <w:t>advantage of this method is the high yield of commodity oil, and the disadvantage is the high price for equipment.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Oil Gas Res, an open access journal</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The chemical way of oil emulsion separating for its regeneration and recycling of hydro carbonaceous products by direct appointment (light fractions, oil etc.) is based on using special surfactants as the demulsifying agents. The main disadvantage of this process is the cost of reagents and their high consumption by one ton of oil waste. Since practically all liquid hydrocarbons are lighter than water, the separation of oil emulsion is accompanied by forming a layer on its surface. This layer basically includes petroleum products and less than 5% of water and allows gathering those emulsion for further salvaging. Different kinds of polyelectrolytes, such as salts of high- molecular sulfonic acids may be used as the colloidal substances. It is also known, that at </w:t>
      </w:r>
      <w:proofErr w:type="gramStart"/>
      <w:r w:rsidRPr="00233D2C">
        <w:rPr>
          <w:rFonts w:ascii="Times New Roman" w:hAnsi="Times New Roman" w:cs="Times New Roman"/>
          <w:sz w:val="30"/>
          <w:szCs w:val="30"/>
        </w:rPr>
        <w:t>russian</w:t>
      </w:r>
      <w:proofErr w:type="gramEnd"/>
      <w:r w:rsidRPr="00233D2C">
        <w:rPr>
          <w:rFonts w:ascii="Times New Roman" w:hAnsi="Times New Roman" w:cs="Times New Roman"/>
          <w:sz w:val="30"/>
          <w:szCs w:val="30"/>
        </w:rPr>
        <w:t xml:space="preserve"> oil refineries the main way of recovery and salvaging of oil waste includes the following steps: centrifugation, extraction, electrolytical separation of heavy metals, composting or or production of waterproofing materials, salvaging on the solid wastes polygon. The disadvantages of this way are connected with the difficulty of implementation of complex-designed equipment. The most progressive technologies of oil waste recovery that are used in Russia and abroad, can be listed below [3]. Company ACS 530 (USA) developed a mobile system MTU 530 for processing and purifying of dirt-, oil- and petroleum wastes. The facility has an automobile platform mount base and is capable to separate oil waste into different phases (oil, water, solid substances) by centrifugation of heated oil waste. The water is applicable for further biological purification. Separated water may be used in different technical processes and dehydrated sediment - for producing building materials. This facility has been used in Russia for elimination of results of accident in the pipeline in Komi Republic. The productivity of construction equipment is 10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 xml:space="preserve"> per an hour at an output oil waste (oil concentration is under 65%). KHD Humboldt Wedag AG </w:t>
      </w:r>
      <w:proofErr w:type="gramStart"/>
      <w:r w:rsidRPr="00233D2C">
        <w:rPr>
          <w:rFonts w:ascii="Times New Roman" w:hAnsi="Times New Roman" w:cs="Times New Roman"/>
          <w:sz w:val="30"/>
          <w:szCs w:val="30"/>
        </w:rPr>
        <w:t>company</w:t>
      </w:r>
      <w:proofErr w:type="gramEnd"/>
      <w:r w:rsidRPr="00233D2C">
        <w:rPr>
          <w:rFonts w:ascii="Times New Roman" w:hAnsi="Times New Roman" w:cs="Times New Roman"/>
          <w:sz w:val="30"/>
          <w:szCs w:val="30"/>
        </w:rPr>
        <w:t xml:space="preserve"> (Germany) proposed a technology that includes the separation of oil waste with its further burning. The facility consists of waste collector, vibrosieve for separation the main amount of solid particles, three phase centrifuge, separator for purification of centrifugate and furnace. Its productivity is 15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 xml:space="preserve"> per an hour at an output oil waste. Petroleum </w:t>
      </w:r>
      <w:proofErr w:type="gramStart"/>
      <w:r w:rsidRPr="00233D2C">
        <w:rPr>
          <w:rFonts w:ascii="Times New Roman" w:hAnsi="Times New Roman" w:cs="Times New Roman"/>
          <w:sz w:val="30"/>
          <w:szCs w:val="30"/>
        </w:rPr>
        <w:t>company</w:t>
      </w:r>
      <w:proofErr w:type="gramEnd"/>
      <w:r w:rsidRPr="00233D2C">
        <w:rPr>
          <w:rFonts w:ascii="Times New Roman" w:hAnsi="Times New Roman" w:cs="Times New Roman"/>
          <w:sz w:val="30"/>
          <w:szCs w:val="30"/>
        </w:rPr>
        <w:t xml:space="preserve"> “Bashneft” uses the technology that includes the dissolving, heating and chemical treatment to separate water and mechanical admixtures. The derived oil goes to the further processing. At oil and gas production department “Tuimazyneft” since 1995 the equipment of “Tatoilgas” company is installed and used with providing the technology of Meiken Co. (Germany). This technology consists of following steps: oil waste heating, treatment by demulsifying agents, emulsion destruction in </w:t>
      </w:r>
      <w:r w:rsidRPr="00233D2C">
        <w:rPr>
          <w:rFonts w:ascii="Times New Roman" w:hAnsi="Times New Roman" w:cs="Times New Roman"/>
          <w:sz w:val="30"/>
          <w:szCs w:val="30"/>
        </w:rPr>
        <w:lastRenderedPageBreak/>
        <w:t xml:space="preserve">decanter with allotment of water and mechanical admixtures. The commodity crude oil reaches its required quality and the next technical step in vaporizer and three phase separator. Complex facility developed by Alfa Laval Oil Field, Ltd. </w:t>
      </w:r>
      <w:proofErr w:type="gramStart"/>
      <w:r w:rsidRPr="00233D2C">
        <w:rPr>
          <w:rFonts w:ascii="Times New Roman" w:hAnsi="Times New Roman" w:cs="Times New Roman"/>
          <w:sz w:val="30"/>
          <w:szCs w:val="30"/>
        </w:rPr>
        <w:t>Is especially interesting.</w:t>
      </w:r>
      <w:proofErr w:type="gramEnd"/>
      <w:r w:rsidRPr="00233D2C">
        <w:rPr>
          <w:rFonts w:ascii="Times New Roman" w:hAnsi="Times New Roman" w:cs="Times New Roman"/>
          <w:sz w:val="30"/>
          <w:szCs w:val="30"/>
        </w:rPr>
        <w:t xml:space="preserve"> This facility allows </w:t>
      </w:r>
      <w:proofErr w:type="gramStart"/>
      <w:r w:rsidRPr="00233D2C">
        <w:rPr>
          <w:rFonts w:ascii="Times New Roman" w:hAnsi="Times New Roman" w:cs="Times New Roman"/>
          <w:sz w:val="30"/>
          <w:szCs w:val="30"/>
        </w:rPr>
        <w:t>to process</w:t>
      </w:r>
      <w:proofErr w:type="gramEnd"/>
      <w:r w:rsidRPr="00233D2C">
        <w:rPr>
          <w:rFonts w:ascii="Times New Roman" w:hAnsi="Times New Roman" w:cs="Times New Roman"/>
          <w:sz w:val="30"/>
          <w:szCs w:val="30"/>
        </w:rPr>
        <w:t xml:space="preserve"> all kinds of oil wastes into the valuable commodity products. Technology provides the filtration of oil waste for solid particles consistent removing and separation in two phase decanting centrifuge. Oil waste is separated into the solid sediment and liquid, which contains oil and water. This water, in its turn, is getting to the plate centrifuge for maximum extraction of oil. Separation of oil waste solves the problem of its storage and as a result the expensive storage tanks and areas are getting free.</w:t>
      </w:r>
    </w:p>
    <w:p w:rsidR="00A115FA" w:rsidRPr="00233D2C" w:rsidRDefault="00A115FA" w:rsidP="00A115FA">
      <w:pPr>
        <w:ind w:firstLine="724"/>
        <w:jc w:val="both"/>
        <w:outlineLvl w:val="3"/>
        <w:rPr>
          <w:rFonts w:ascii="Times New Roman" w:hAnsi="Times New Roman" w:cs="Times New Roman"/>
          <w:color w:val="auto"/>
          <w:sz w:val="30"/>
          <w:szCs w:val="30"/>
          <w:lang w:eastAsia="ru-RU"/>
        </w:rPr>
      </w:pPr>
      <w:r w:rsidRPr="00233D2C">
        <w:rPr>
          <w:rFonts w:ascii="Times New Roman" w:hAnsi="Times New Roman" w:cs="Times New Roman"/>
          <w:sz w:val="30"/>
          <w:szCs w:val="30"/>
        </w:rPr>
        <w:t>Experimental Details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Considering the industrial volume of oil waste in current thesis it was proposed to realize technical processing by using light thermal cracking. This process can be realized directly at waste storage. In this case it is possible to decrease the expenses that are connected with waste transporting. For realization of proposed method the</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waste</w:t>
      </w:r>
      <w:proofErr w:type="gramEnd"/>
      <w:r w:rsidRPr="00233D2C">
        <w:rPr>
          <w:rFonts w:ascii="Times New Roman" w:hAnsi="Times New Roman" w:cs="Times New Roman"/>
          <w:sz w:val="30"/>
          <w:szCs w:val="30"/>
        </w:rPr>
        <w:t xml:space="preserve"> samples were taken from the settling pit at the oil refinery and previously dehydrated. Also the mechanical admixtures were removed by demulsifying agent “Proksamin” addition and further settling during 3 hours at 343 </w:t>
      </w:r>
      <w:r w:rsidRPr="00233D2C">
        <w:rPr>
          <w:rFonts w:ascii="Times New Roman" w:hAnsi="Times New Roman" w:cs="Times New Roman"/>
          <w:sz w:val="30"/>
          <w:szCs w:val="30"/>
          <w:lang w:val="ru-RU" w:eastAsia="ru-RU"/>
        </w:rPr>
        <w:t>К</w:t>
      </w:r>
      <w:r w:rsidRPr="00233D2C">
        <w:rPr>
          <w:rFonts w:ascii="Times New Roman" w:hAnsi="Times New Roman" w:cs="Times New Roman"/>
          <w:sz w:val="30"/>
          <w:szCs w:val="30"/>
          <w:lang w:val="en-GB" w:eastAsia="ru-RU"/>
        </w:rPr>
        <w:t xml:space="preserve"> </w:t>
      </w:r>
      <w:r w:rsidRPr="00233D2C">
        <w:rPr>
          <w:rFonts w:ascii="Times New Roman" w:hAnsi="Times New Roman" w:cs="Times New Roman"/>
          <w:sz w:val="30"/>
          <w:szCs w:val="30"/>
        </w:rPr>
        <w:t xml:space="preserve">[4]. After preparation samples are getting to light thermal cracking. The output products in this process were gas, middle distillates with boiling point about 530-650 K and coke residue. The cracking gas yield amounts to 3 vol% for oil waste taken from Kremenchug oil refinery (Ukraine, Poltava region) and 2 vol% for waste taken from Atyrau oil refinery (Atyrau, Kazakhstan). The coke residue amounts to 14% of waste from Kremenchug and 36% of waste from Atyrau. The losses amount to 1.5 and 2% respectively. Wide distillate fraction, an output product of thermal cracking, was separated into more narrow fractions according to the Ukrainian standard of petroleum fractions determination </w:t>
      </w:r>
      <w:r w:rsidRPr="00233D2C">
        <w:rPr>
          <w:rFonts w:ascii="Times New Roman" w:hAnsi="Times New Roman" w:cs="Times New Roman"/>
          <w:sz w:val="30"/>
          <w:szCs w:val="30"/>
          <w:lang w:val="en-GB" w:eastAsia="ru-RU"/>
        </w:rPr>
        <w:t>(</w:t>
      </w:r>
      <w:r w:rsidRPr="00233D2C">
        <w:rPr>
          <w:rFonts w:ascii="Times New Roman" w:hAnsi="Times New Roman" w:cs="Times New Roman"/>
          <w:sz w:val="30"/>
          <w:szCs w:val="30"/>
          <w:lang w:val="ru-RU" w:eastAsia="ru-RU"/>
        </w:rPr>
        <w:t>ДСТУ</w:t>
      </w:r>
      <w:r w:rsidRPr="00233D2C">
        <w:rPr>
          <w:rFonts w:ascii="Times New Roman" w:hAnsi="Times New Roman" w:cs="Times New Roman"/>
          <w:sz w:val="30"/>
          <w:szCs w:val="30"/>
          <w:lang w:val="en-GB" w:eastAsia="ru-RU"/>
        </w:rPr>
        <w:t xml:space="preserve"> </w:t>
      </w:r>
      <w:r w:rsidRPr="00233D2C">
        <w:rPr>
          <w:rFonts w:ascii="Times New Roman" w:hAnsi="Times New Roman" w:cs="Times New Roman"/>
          <w:sz w:val="30"/>
          <w:szCs w:val="30"/>
        </w:rPr>
        <w:t>2177).</w:t>
      </w:r>
    </w:p>
    <w:p w:rsidR="00A115FA" w:rsidRPr="00233D2C" w:rsidRDefault="00A115FA" w:rsidP="00A115FA">
      <w:pPr>
        <w:ind w:firstLine="724"/>
        <w:jc w:val="both"/>
        <w:outlineLvl w:val="3"/>
        <w:rPr>
          <w:rFonts w:ascii="Times New Roman" w:hAnsi="Times New Roman" w:cs="Times New Roman"/>
          <w:color w:val="auto"/>
          <w:sz w:val="30"/>
          <w:szCs w:val="30"/>
          <w:lang w:eastAsia="ru-RU"/>
        </w:rPr>
      </w:pPr>
      <w:r w:rsidRPr="00233D2C">
        <w:rPr>
          <w:rFonts w:ascii="Times New Roman" w:hAnsi="Times New Roman" w:cs="Times New Roman"/>
          <w:sz w:val="30"/>
          <w:szCs w:val="30"/>
        </w:rPr>
        <w:t>Results and Discussion</w:t>
      </w:r>
    </w:p>
    <w:p w:rsidR="00A115FA" w:rsidRDefault="00A115FA" w:rsidP="00A115FA">
      <w:pPr>
        <w:ind w:firstLine="724"/>
        <w:jc w:val="both"/>
        <w:rPr>
          <w:rFonts w:ascii="Times New Roman" w:hAnsi="Times New Roman" w:cs="Times New Roman"/>
          <w:sz w:val="30"/>
          <w:szCs w:val="30"/>
          <w:lang w:val="kk-KZ"/>
        </w:rPr>
      </w:pPr>
      <w:r w:rsidRPr="00233D2C">
        <w:rPr>
          <w:rFonts w:ascii="Times New Roman" w:hAnsi="Times New Roman" w:cs="Times New Roman"/>
          <w:sz w:val="30"/>
          <w:szCs w:val="30"/>
        </w:rPr>
        <w:t xml:space="preserve">The results of determination of fractions, which were the products of waste thermal cracking from Kremenchug (Figure 1) and Atyrau (Figure 2) oil refineries, are given below. As it shown in Table 1, diesel fraction is the main output product. The amount of gasoline and gas fractions from Atyrau refinery was insignificant, these fraction have light-brown color and odor that is specific to thermal cracking products. Products of Kremenchug refinery include 26 vol% of gas fraction. A residue that has a boiling point about 633 </w:t>
      </w:r>
      <w:proofErr w:type="gramStart"/>
      <w:r w:rsidRPr="00233D2C">
        <w:rPr>
          <w:rFonts w:ascii="Times New Roman" w:hAnsi="Times New Roman" w:cs="Times New Roman"/>
          <w:sz w:val="30"/>
          <w:szCs w:val="30"/>
        </w:rPr>
        <w:t>K,</w:t>
      </w:r>
      <w:proofErr w:type="gramEnd"/>
      <w:r w:rsidRPr="00233D2C">
        <w:rPr>
          <w:rFonts w:ascii="Times New Roman" w:hAnsi="Times New Roman" w:cs="Times New Roman"/>
          <w:sz w:val="30"/>
          <w:szCs w:val="30"/>
        </w:rPr>
        <w:t xml:space="preserve"> was investigated as a crude for road bitumen production. A softening point of residue from Atyrau in a ring and ball apparatus is 377 K and for residue from Kremenchug Table 1: The distillated fractions yield for oil waste it is 303 K. The results show that the molecular structure of residue of processed </w:t>
      </w:r>
      <w:r w:rsidRPr="00233D2C">
        <w:rPr>
          <w:rFonts w:ascii="Times New Roman" w:hAnsi="Times New Roman" w:cs="Times New Roman"/>
          <w:sz w:val="30"/>
          <w:szCs w:val="30"/>
        </w:rPr>
        <w:lastRenderedPageBreak/>
        <w:t xml:space="preserve">waste from Atyrau oil refinery is more complex that structure of residue from Kremenchug oil refinery. A narrow fraction (boiling point is about 630...690 </w:t>
      </w:r>
      <w:proofErr w:type="gramStart"/>
      <w:r w:rsidRPr="00233D2C">
        <w:rPr>
          <w:rFonts w:ascii="Times New Roman" w:hAnsi="Times New Roman" w:cs="Times New Roman"/>
          <w:sz w:val="30"/>
          <w:szCs w:val="30"/>
        </w:rPr>
        <w:t>K )</w:t>
      </w:r>
      <w:proofErr w:type="gramEnd"/>
      <w:r w:rsidRPr="00233D2C">
        <w:rPr>
          <w:rFonts w:ascii="Times New Roman" w:hAnsi="Times New Roman" w:cs="Times New Roman"/>
          <w:sz w:val="30"/>
          <w:szCs w:val="30"/>
        </w:rPr>
        <w:t xml:space="preserve"> was taken for further investigations. </w:t>
      </w:r>
      <w:proofErr w:type="gramStart"/>
      <w:r w:rsidRPr="00233D2C">
        <w:rPr>
          <w:rFonts w:ascii="Times New Roman" w:hAnsi="Times New Roman" w:cs="Times New Roman"/>
          <w:sz w:val="30"/>
          <w:szCs w:val="30"/>
        </w:rPr>
        <w:t>It’s</w:t>
      </w:r>
      <w:proofErr w:type="gramEnd"/>
      <w:r w:rsidRPr="00233D2C">
        <w:rPr>
          <w:rFonts w:ascii="Times New Roman" w:hAnsi="Times New Roman" w:cs="Times New Roman"/>
          <w:sz w:val="30"/>
          <w:szCs w:val="30"/>
        </w:rPr>
        <w:t xml:space="preserve"> congelation point was determinated, it is about 286 and 280 K for Kremenchug and Atyrau refineries respectively [5]. The main product of waste cracking, independently of its origin, is diesel fraction.</w:t>
      </w:r>
    </w:p>
    <w:p w:rsidR="00A115FA" w:rsidRPr="00233D2C" w:rsidRDefault="00A115FA" w:rsidP="00A115FA">
      <w:pPr>
        <w:ind w:firstLine="724"/>
        <w:jc w:val="both"/>
        <w:rPr>
          <w:rFonts w:ascii="Times New Roman" w:hAnsi="Times New Roman" w:cs="Times New Roman"/>
          <w:color w:val="auto"/>
          <w:sz w:val="30"/>
          <w:szCs w:val="30"/>
          <w:lang w:val="kk-KZ"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234690" cy="2047240"/>
            <wp:effectExtent l="0" t="0" r="3810" b="0"/>
            <wp:docPr id="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4690" cy="204724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 The influence of temperature on the product yield (Kremenchug refinery).</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248025" cy="2306320"/>
            <wp:effectExtent l="0" t="0" r="9525" b="0"/>
            <wp:docPr id="5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8025" cy="230632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Oil Gas Res, an open access journal</w:t>
      </w:r>
    </w:p>
    <w:p w:rsidR="00A115FA" w:rsidRPr="00233D2C" w:rsidRDefault="008872CD" w:rsidP="00A115FA">
      <w:pPr>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6373495" cy="2552065"/>
            <wp:effectExtent l="0" t="0" r="8255" b="635"/>
            <wp:docPr id="5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73495" cy="2552065"/>
                    </a:xfrm>
                    <a:prstGeom prst="rect">
                      <a:avLst/>
                    </a:prstGeom>
                    <a:noFill/>
                    <a:ln>
                      <a:noFill/>
                    </a:ln>
                  </pic:spPr>
                </pic:pic>
              </a:graphicData>
            </a:graphic>
          </wp:inline>
        </w:drawing>
      </w:r>
    </w:p>
    <w:p w:rsidR="00A115FA" w:rsidRDefault="00A115FA" w:rsidP="00A115FA">
      <w:pPr>
        <w:ind w:firstLine="724"/>
        <w:jc w:val="both"/>
        <w:rPr>
          <w:rFonts w:ascii="Times New Roman" w:hAnsi="Times New Roman" w:cs="Times New Roman"/>
          <w:sz w:val="30"/>
          <w:szCs w:val="30"/>
          <w:lang w:val="kk-KZ"/>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3: The technological scheme of oil waste processing.</w:t>
      </w:r>
    </w:p>
    <w:tbl>
      <w:tblPr>
        <w:tblW w:w="0" w:type="auto"/>
        <w:tblInd w:w="5" w:type="dxa"/>
        <w:tblLayout w:type="fixed"/>
        <w:tblCellMar>
          <w:left w:w="0" w:type="dxa"/>
          <w:right w:w="0" w:type="dxa"/>
        </w:tblCellMar>
        <w:tblLook w:val="0000" w:firstRow="0" w:lastRow="0" w:firstColumn="0" w:lastColumn="0" w:noHBand="0" w:noVBand="0"/>
      </w:tblPr>
      <w:tblGrid>
        <w:gridCol w:w="2410"/>
        <w:gridCol w:w="2977"/>
        <w:gridCol w:w="2976"/>
      </w:tblGrid>
      <w:tr w:rsidR="00A115FA" w:rsidRPr="00233D2C" w:rsidTr="00A115FA">
        <w:trPr>
          <w:trHeight w:val="211"/>
        </w:trPr>
        <w:tc>
          <w:tcPr>
            <w:tcW w:w="2410" w:type="dxa"/>
            <w:vMerge w:val="restart"/>
            <w:tcBorders>
              <w:top w:val="single" w:sz="4" w:space="0" w:color="auto"/>
              <w:left w:val="single" w:sz="4" w:space="0" w:color="auto"/>
              <w:bottom w:val="nil"/>
              <w:right w:val="nil"/>
            </w:tcBorders>
            <w:shd w:val="clear" w:color="auto" w:fill="FFFFFF"/>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The name of characteristics</w:t>
            </w:r>
          </w:p>
        </w:tc>
        <w:tc>
          <w:tcPr>
            <w:tcW w:w="5953" w:type="dxa"/>
            <w:gridSpan w:val="2"/>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The yield of distillate fractions, %</w:t>
            </w:r>
          </w:p>
        </w:tc>
      </w:tr>
      <w:tr w:rsidR="00A115FA" w:rsidRPr="00233D2C" w:rsidTr="00A115FA">
        <w:trPr>
          <w:trHeight w:val="216"/>
        </w:trPr>
        <w:tc>
          <w:tcPr>
            <w:tcW w:w="2410" w:type="dxa"/>
            <w:vMerge/>
            <w:tcBorders>
              <w:top w:val="nil"/>
              <w:left w:val="single" w:sz="4" w:space="0" w:color="auto"/>
              <w:bottom w:val="nil"/>
              <w:right w:val="nil"/>
            </w:tcBorders>
            <w:shd w:val="clear" w:color="auto" w:fill="FFFFFF"/>
          </w:tcPr>
          <w:p w:rsidR="00A115FA" w:rsidRPr="00233D2C" w:rsidRDefault="00A115FA" w:rsidP="00A115FA">
            <w:pPr>
              <w:jc w:val="center"/>
              <w:rPr>
                <w:rFonts w:ascii="Times New Roman" w:hAnsi="Times New Roman" w:cs="Times New Roman"/>
                <w:color w:val="auto"/>
                <w:sz w:val="30"/>
                <w:szCs w:val="30"/>
                <w:lang w:eastAsia="ru-RU"/>
              </w:rPr>
            </w:pPr>
          </w:p>
        </w:tc>
        <w:tc>
          <w:tcPr>
            <w:tcW w:w="2977"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Atyraus refinery</w:t>
            </w:r>
          </w:p>
        </w:tc>
        <w:tc>
          <w:tcPr>
            <w:tcW w:w="2976"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Kremenchug refinery</w:t>
            </w:r>
          </w:p>
        </w:tc>
      </w:tr>
      <w:tr w:rsidR="00A115FA" w:rsidRPr="00233D2C" w:rsidTr="00A115FA">
        <w:trPr>
          <w:trHeight w:val="216"/>
        </w:trPr>
        <w:tc>
          <w:tcPr>
            <w:tcW w:w="2410"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The fractional composition:</w:t>
            </w:r>
          </w:p>
        </w:tc>
        <w:tc>
          <w:tcPr>
            <w:tcW w:w="2977" w:type="dxa"/>
            <w:tcBorders>
              <w:top w:val="single" w:sz="4" w:space="0" w:color="auto"/>
              <w:left w:val="single" w:sz="4" w:space="0" w:color="auto"/>
              <w:bottom w:val="nil"/>
              <w:right w:val="nil"/>
            </w:tcBorders>
            <w:shd w:val="clear" w:color="auto" w:fill="FFFFFF"/>
          </w:tcPr>
          <w:p w:rsidR="00A115FA" w:rsidRPr="00233D2C" w:rsidRDefault="00A115FA" w:rsidP="00A115FA">
            <w:pPr>
              <w:jc w:val="center"/>
              <w:rPr>
                <w:rFonts w:ascii="Times New Roman" w:hAnsi="Times New Roman" w:cs="Times New Roman"/>
                <w:color w:val="auto"/>
                <w:sz w:val="30"/>
                <w:szCs w:val="30"/>
                <w:lang w:eastAsia="ru-RU"/>
              </w:rPr>
            </w:pPr>
          </w:p>
        </w:tc>
        <w:tc>
          <w:tcPr>
            <w:tcW w:w="2976" w:type="dxa"/>
            <w:tcBorders>
              <w:top w:val="single" w:sz="4" w:space="0" w:color="auto"/>
              <w:left w:val="single" w:sz="4" w:space="0" w:color="auto"/>
              <w:bottom w:val="nil"/>
              <w:right w:val="single" w:sz="4" w:space="0" w:color="auto"/>
            </w:tcBorders>
            <w:shd w:val="clear" w:color="auto" w:fill="FFFFFF"/>
          </w:tcPr>
          <w:p w:rsidR="00A115FA" w:rsidRPr="00233D2C" w:rsidRDefault="00A115FA" w:rsidP="00A115FA">
            <w:pPr>
              <w:jc w:val="center"/>
              <w:rPr>
                <w:rFonts w:ascii="Times New Roman" w:hAnsi="Times New Roman" w:cs="Times New Roman"/>
                <w:color w:val="auto"/>
                <w:sz w:val="30"/>
                <w:szCs w:val="30"/>
                <w:lang w:eastAsia="ru-RU"/>
              </w:rPr>
            </w:pPr>
          </w:p>
        </w:tc>
      </w:tr>
      <w:tr w:rsidR="00A115FA" w:rsidRPr="00233D2C" w:rsidTr="00A115FA">
        <w:trPr>
          <w:trHeight w:val="216"/>
        </w:trPr>
        <w:tc>
          <w:tcPr>
            <w:tcW w:w="2410"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453K</w:t>
            </w:r>
          </w:p>
        </w:tc>
        <w:tc>
          <w:tcPr>
            <w:tcW w:w="2977"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2</w:t>
            </w:r>
          </w:p>
        </w:tc>
        <w:tc>
          <w:tcPr>
            <w:tcW w:w="2976" w:type="dxa"/>
            <w:tcBorders>
              <w:top w:val="single" w:sz="4" w:space="0" w:color="auto"/>
              <w:left w:val="single" w:sz="4" w:space="0" w:color="auto"/>
              <w:bottom w:val="nil"/>
              <w:right w:val="single" w:sz="4" w:space="0" w:color="auto"/>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w:t>
            </w:r>
          </w:p>
        </w:tc>
      </w:tr>
      <w:tr w:rsidR="00A115FA" w:rsidRPr="00233D2C" w:rsidTr="00A115FA">
        <w:trPr>
          <w:trHeight w:val="216"/>
        </w:trPr>
        <w:tc>
          <w:tcPr>
            <w:tcW w:w="2410"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453-513K</w:t>
            </w:r>
          </w:p>
        </w:tc>
        <w:tc>
          <w:tcPr>
            <w:tcW w:w="2977"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2</w:t>
            </w:r>
          </w:p>
        </w:tc>
        <w:tc>
          <w:tcPr>
            <w:tcW w:w="2976"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26</w:t>
            </w:r>
          </w:p>
        </w:tc>
      </w:tr>
      <w:tr w:rsidR="00A115FA" w:rsidRPr="00233D2C" w:rsidTr="00A115FA">
        <w:trPr>
          <w:trHeight w:val="216"/>
        </w:trPr>
        <w:tc>
          <w:tcPr>
            <w:tcW w:w="2410" w:type="dxa"/>
            <w:tcBorders>
              <w:top w:val="single" w:sz="4" w:space="0" w:color="auto"/>
              <w:left w:val="single" w:sz="4" w:space="0" w:color="auto"/>
              <w:bottom w:val="nil"/>
              <w:right w:val="nil"/>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513-633K</w:t>
            </w:r>
          </w:p>
        </w:tc>
        <w:tc>
          <w:tcPr>
            <w:tcW w:w="2977"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60</w:t>
            </w:r>
          </w:p>
        </w:tc>
        <w:tc>
          <w:tcPr>
            <w:tcW w:w="2976" w:type="dxa"/>
            <w:tcBorders>
              <w:top w:val="single" w:sz="4" w:space="0" w:color="auto"/>
              <w:left w:val="single" w:sz="4" w:space="0" w:color="auto"/>
              <w:bottom w:val="nil"/>
              <w:right w:val="single" w:sz="4" w:space="0" w:color="auto"/>
            </w:tcBorders>
            <w:shd w:val="clear" w:color="auto" w:fill="FFFFFF"/>
            <w:vAlign w:val="center"/>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52</w:t>
            </w:r>
          </w:p>
        </w:tc>
      </w:tr>
      <w:tr w:rsidR="00A115FA" w:rsidRPr="00233D2C" w:rsidTr="00A115FA">
        <w:trPr>
          <w:trHeight w:val="211"/>
        </w:trPr>
        <w:tc>
          <w:tcPr>
            <w:tcW w:w="2410"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&gt;633K</w:t>
            </w:r>
          </w:p>
        </w:tc>
        <w:tc>
          <w:tcPr>
            <w:tcW w:w="2977" w:type="dxa"/>
            <w:tcBorders>
              <w:top w:val="single" w:sz="4" w:space="0" w:color="auto"/>
              <w:left w:val="single" w:sz="4" w:space="0" w:color="auto"/>
              <w:bottom w:val="nil"/>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36,5</w:t>
            </w:r>
          </w:p>
        </w:tc>
        <w:tc>
          <w:tcPr>
            <w:tcW w:w="2976" w:type="dxa"/>
            <w:tcBorders>
              <w:top w:val="single" w:sz="4" w:space="0" w:color="auto"/>
              <w:left w:val="single" w:sz="4" w:space="0" w:color="auto"/>
              <w:bottom w:val="nil"/>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16,5</w:t>
            </w:r>
          </w:p>
        </w:tc>
      </w:tr>
      <w:tr w:rsidR="00A115FA" w:rsidRPr="00233D2C" w:rsidTr="00A115FA">
        <w:trPr>
          <w:trHeight w:val="221"/>
        </w:trPr>
        <w:tc>
          <w:tcPr>
            <w:tcW w:w="2410" w:type="dxa"/>
            <w:tcBorders>
              <w:top w:val="single" w:sz="4" w:space="0" w:color="auto"/>
              <w:left w:val="single" w:sz="4" w:space="0" w:color="auto"/>
              <w:bottom w:val="single" w:sz="4" w:space="0" w:color="auto"/>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Losses,%</w:t>
            </w:r>
          </w:p>
        </w:tc>
        <w:tc>
          <w:tcPr>
            <w:tcW w:w="2977" w:type="dxa"/>
            <w:tcBorders>
              <w:top w:val="single" w:sz="4" w:space="0" w:color="auto"/>
              <w:left w:val="single" w:sz="4" w:space="0" w:color="auto"/>
              <w:bottom w:val="single" w:sz="4" w:space="0" w:color="auto"/>
              <w:right w:val="nil"/>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1.5</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bottom"/>
          </w:tcPr>
          <w:p w:rsidR="00A115FA" w:rsidRPr="00233D2C" w:rsidRDefault="00A115FA" w:rsidP="00A115FA">
            <w:pPr>
              <w:jc w:val="center"/>
              <w:rPr>
                <w:rFonts w:ascii="Times New Roman" w:hAnsi="Times New Roman" w:cs="Times New Roman"/>
                <w:color w:val="auto"/>
                <w:sz w:val="30"/>
                <w:szCs w:val="30"/>
                <w:lang w:eastAsia="ru-RU"/>
              </w:rPr>
            </w:pPr>
            <w:r w:rsidRPr="00233D2C">
              <w:rPr>
                <w:rFonts w:ascii="Times New Roman" w:hAnsi="Times New Roman" w:cs="Times New Roman"/>
                <w:sz w:val="30"/>
                <w:szCs w:val="30"/>
              </w:rPr>
              <w:t>1.5</w:t>
            </w:r>
          </w:p>
        </w:tc>
      </w:tr>
    </w:tbl>
    <w:p w:rsidR="00A115FA" w:rsidRPr="00233D2C" w:rsidRDefault="00A115FA" w:rsidP="00A115FA">
      <w:pPr>
        <w:ind w:firstLine="724"/>
        <w:jc w:val="both"/>
        <w:rPr>
          <w:rFonts w:ascii="Times New Roman" w:hAnsi="Times New Roman" w:cs="Times New Roman"/>
          <w:sz w:val="30"/>
          <w:szCs w:val="30"/>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results of investigation show that density of this fraction is about 855 kg per m</w:t>
      </w:r>
      <w:r w:rsidRPr="00233D2C">
        <w:rPr>
          <w:rFonts w:ascii="Times New Roman" w:hAnsi="Times New Roman" w:cs="Times New Roman"/>
          <w:sz w:val="30"/>
          <w:szCs w:val="30"/>
          <w:vertAlign w:val="superscript"/>
        </w:rPr>
        <w:t>3</w:t>
      </w:r>
      <w:r w:rsidRPr="00233D2C">
        <w:rPr>
          <w:rFonts w:ascii="Times New Roman" w:hAnsi="Times New Roman" w:cs="Times New Roman"/>
          <w:sz w:val="30"/>
          <w:szCs w:val="30"/>
        </w:rPr>
        <w:t xml:space="preserve"> at 273 K. A water extract of diesel has a pH approximately 5-6 and the congelation point is 291 K. A flash-point in closed cup is 348 K. The results of oil waste from Kremenchug refinery distillation are given below. Oil waste from vessel V1 gets to the centrifuge C1 by pump P1 for separation of water and mechanical admixtures. From P1 it comes to reactor R1 through the heat exchanger H1 where the dehydrated crude previously gets heat up to about 443 K. After that the crude heats up to 893 K in the thermal cracking reactor. The coke and bituminous residues get unloaded from the sump of R1. In case of producing the bituminous residue, it goes through the air F1 and water fridge and goes to the composition of commodity goods. The cracking output products are taken from R1. After that they go through fridge F3 to the separator S1, where gases are separated for futher gas fractionation. After getting from S1 the products go to the column CO1 for fractionation (Figure 3). The gasoline fraction is taken from K1 and P2 pumps it through F4, then this fraction partly returns to the column for cold irrigation and the balanced amount goes to the alkaline purification from the acidic components. During the second sampling, the kerosene fraction is taken from K1, pumped by P3 through F5 and gets unloaded from the equipment to the storage. From the bottom</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of</w:t>
      </w:r>
      <w:proofErr w:type="gramEnd"/>
      <w:r w:rsidRPr="00233D2C">
        <w:rPr>
          <w:rFonts w:ascii="Times New Roman" w:hAnsi="Times New Roman" w:cs="Times New Roman"/>
          <w:sz w:val="30"/>
          <w:szCs w:val="30"/>
        </w:rPr>
        <w:t xml:space="preserve"> CO1 the diesel fraction is derived, it is divided into two streams, one of those is pumped through the boiler B1 and returns to the CO1 for supporting the thermal balance in it. The second balance stream is pumped by P4 through the heat exchanger H1 where it heats the crude by its own heat, the crude goes to R1 for thermal cracking process.</w:t>
      </w:r>
    </w:p>
    <w:p w:rsidR="00A115FA" w:rsidRPr="00233D2C" w:rsidRDefault="00A115FA" w:rsidP="00A115FA">
      <w:pPr>
        <w:ind w:firstLine="724"/>
        <w:jc w:val="both"/>
        <w:outlineLvl w:val="3"/>
        <w:rPr>
          <w:rFonts w:ascii="Times New Roman" w:hAnsi="Times New Roman" w:cs="Times New Roman"/>
          <w:color w:val="auto"/>
          <w:sz w:val="30"/>
          <w:szCs w:val="30"/>
          <w:lang w:eastAsia="ru-RU"/>
        </w:rPr>
      </w:pPr>
      <w:r w:rsidRPr="00233D2C">
        <w:rPr>
          <w:rFonts w:ascii="Times New Roman" w:hAnsi="Times New Roman" w:cs="Times New Roman"/>
          <w:sz w:val="30"/>
          <w:szCs w:val="30"/>
        </w:rPr>
        <w:t>Conclusions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Products of thermal cracking of oil waste, due to their properties, may be widely used in motor oil and other kinds of fuel production. For example, the diesel fraction is a valuable component for production of commodity </w:t>
      </w:r>
      <w:r w:rsidRPr="00233D2C">
        <w:rPr>
          <w:rFonts w:ascii="Times New Roman" w:hAnsi="Times New Roman" w:cs="Times New Roman"/>
          <w:sz w:val="30"/>
          <w:szCs w:val="30"/>
        </w:rPr>
        <w:lastRenderedPageBreak/>
        <w:t>diesel fuel, fuel for low-speed engines of agricultural equipment, road and building vehicles.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A gasoline fraction, after it’s purification from sulphur-containing and resinous components, may be used as a component commodity gasoline compounding or in oil solvents production. A kerosene fraction, after </w:t>
      </w:r>
      <w:proofErr w:type="gramStart"/>
      <w:r w:rsidRPr="00233D2C">
        <w:rPr>
          <w:rFonts w:ascii="Times New Roman" w:hAnsi="Times New Roman" w:cs="Times New Roman"/>
          <w:sz w:val="30"/>
          <w:szCs w:val="30"/>
        </w:rPr>
        <w:t>it’s</w:t>
      </w:r>
      <w:proofErr w:type="gramEnd"/>
      <w:r w:rsidRPr="00233D2C">
        <w:rPr>
          <w:rFonts w:ascii="Times New Roman" w:hAnsi="Times New Roman" w:cs="Times New Roman"/>
          <w:sz w:val="30"/>
          <w:szCs w:val="30"/>
        </w:rPr>
        <w:t xml:space="preserve"> deep purification from water, sulphur-containing and resinous components, may be used in a jet fuel production and as lighting kerosene. A fuel oil or tar is completely available for boil fuel production and as </w:t>
      </w:r>
      <w:proofErr w:type="gramStart"/>
      <w:r w:rsidRPr="00233D2C">
        <w:rPr>
          <w:rFonts w:ascii="Times New Roman" w:hAnsi="Times New Roman" w:cs="Times New Roman"/>
          <w:sz w:val="30"/>
          <w:szCs w:val="30"/>
        </w:rPr>
        <w:t>a crude</w:t>
      </w:r>
      <w:proofErr w:type="gramEnd"/>
      <w:r w:rsidRPr="00233D2C">
        <w:rPr>
          <w:rFonts w:ascii="Times New Roman" w:hAnsi="Times New Roman" w:cs="Times New Roman"/>
          <w:sz w:val="30"/>
          <w:szCs w:val="30"/>
        </w:rPr>
        <w:t xml:space="preserve"> for motor fuel, distillate base oil, oil coke production by pyrolysis, a crude for road and building bitumen production.</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outlineLvl w:val="0"/>
        <w:rPr>
          <w:rFonts w:ascii="Times New Roman" w:hAnsi="Times New Roman" w:cs="Times New Roman"/>
          <w:b/>
          <w:bCs/>
          <w:sz w:val="30"/>
          <w:szCs w:val="30"/>
        </w:rPr>
      </w:pPr>
    </w:p>
    <w:p w:rsidR="00A115FA" w:rsidRDefault="00A115FA" w:rsidP="00A115FA">
      <w:pPr>
        <w:ind w:firstLine="724"/>
        <w:jc w:val="both"/>
        <w:outlineLvl w:val="0"/>
        <w:rPr>
          <w:rFonts w:ascii="Times New Roman" w:hAnsi="Times New Roman" w:cs="Times New Roman"/>
          <w:b/>
          <w:bCs/>
          <w:sz w:val="30"/>
          <w:szCs w:val="30"/>
          <w:lang w:val="kk-KZ"/>
        </w:rPr>
      </w:pPr>
      <w:r w:rsidRPr="00233D2C">
        <w:rPr>
          <w:rFonts w:ascii="Times New Roman" w:hAnsi="Times New Roman" w:cs="Times New Roman"/>
          <w:b/>
          <w:bCs/>
          <w:sz w:val="30"/>
          <w:szCs w:val="30"/>
        </w:rPr>
        <w:t>2.3 Turning waste oil into profit</w:t>
      </w:r>
    </w:p>
    <w:p w:rsidR="00A115FA" w:rsidRPr="00E3007F" w:rsidRDefault="00A115FA" w:rsidP="00A115FA">
      <w:pPr>
        <w:ind w:firstLine="724"/>
        <w:jc w:val="both"/>
        <w:outlineLvl w:val="0"/>
        <w:rPr>
          <w:rFonts w:ascii="Times New Roman" w:hAnsi="Times New Roman" w:cs="Times New Roman"/>
          <w:b/>
          <w:bCs/>
          <w:sz w:val="30"/>
          <w:szCs w:val="30"/>
          <w:lang w:val="kk-KZ"/>
        </w:rPr>
      </w:pPr>
    </w:p>
    <w:p w:rsidR="00A115FA" w:rsidRPr="00233D2C" w:rsidRDefault="00A115FA" w:rsidP="00A115FA">
      <w:pPr>
        <w:ind w:firstLine="724"/>
        <w:jc w:val="both"/>
        <w:outlineLvl w:val="1"/>
        <w:rPr>
          <w:rFonts w:ascii="Times New Roman" w:hAnsi="Times New Roman" w:cs="Times New Roman"/>
          <w:color w:val="auto"/>
          <w:sz w:val="30"/>
          <w:szCs w:val="30"/>
          <w:lang w:eastAsia="ru-RU"/>
        </w:rPr>
      </w:pPr>
      <w:r w:rsidRPr="00233D2C">
        <w:rPr>
          <w:rFonts w:ascii="Times New Roman" w:hAnsi="Times New Roman" w:cs="Times New Roman"/>
          <w:sz w:val="30"/>
          <w:szCs w:val="30"/>
        </w:rPr>
        <w:t>An innovative waste management company creates a high-grade fuel oil made from waste oil, using a self-cleaning filter that reduces labor by 75%, maintenance by 50%, in 60% less production space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the United States alone, an estimated 200 million gallons of used motor oil are improperly disposed of by being dumped on the ground, tossed in the trash (ending up in landfills), and poured down storm sewers and drains,” states the EPA document titled “Collecting Used Oil for Recycling/Reuse.”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“If all of the used oil that is improperly disposed of were properly managed, the United States could save thousands of barrels of oil each day,” the EPA document continues. “Used oil that is properly handled can be re-refined into lubricants, processed into fuel oils, and used as raw materials for the refining and petrochemical industries.”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Through waste oil recovery and reuse programs, pro-active nations such as the U.S. and Canada, as well as many municipalities are looking to turn the hazard of improper waste oil disposal into a valuable resource. In this effort, savvy companies are taking advantage of a new generation of self-cleaning filter technology that can process waste oil into quality products more effectively, with less downtime and labor than possible with traditional equipment.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Capturing a New Market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Global Recuperation, a waste management recycling company based in Quebec, Canada, reclaims used motor oil and filters, along with other industrial commodities. </w:t>
      </w:r>
      <w:proofErr w:type="gramStart"/>
      <w:r w:rsidRPr="00233D2C">
        <w:rPr>
          <w:rFonts w:ascii="Times New Roman" w:hAnsi="Times New Roman" w:cs="Times New Roman"/>
          <w:sz w:val="30"/>
          <w:szCs w:val="30"/>
        </w:rPr>
        <w:t>Though waste oil is mandated for reuse in much of Canada, Eric Poisson, the company's President, wanted to capture an underserved market niche for a higher grade of fuel oil, made from processed waste oil.</w:t>
      </w:r>
      <w:proofErr w:type="gramEnd"/>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Self-Cleaning Russell Eco Filter®</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lang w:val="ru-RU" w:eastAsia="ru-RU"/>
        </w:rPr>
        <w:lastRenderedPageBreak/>
        <w:t>О</w:t>
      </w:r>
      <w:r w:rsidRPr="00233D2C">
        <w:rPr>
          <w:rFonts w:ascii="Times New Roman" w:hAnsi="Times New Roman" w:cs="Times New Roman"/>
          <w:sz w:val="30"/>
          <w:szCs w:val="30"/>
          <w:lang w:val="en-GB" w:eastAsia="ru-RU"/>
        </w:rPr>
        <w:t xml:space="preserve"> </w:t>
      </w:r>
      <w:r w:rsidRPr="00233D2C">
        <w:rPr>
          <w:rFonts w:ascii="Times New Roman" w:hAnsi="Times New Roman" w:cs="Times New Roman"/>
          <w:sz w:val="30"/>
          <w:szCs w:val="30"/>
        </w:rPr>
        <w:t>Replacing static cartridge filters with the Self-Cleaning Russell Eco Filter® makes cleaning between batches quick and easy with minimal disruption.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lang w:val="ru-RU" w:eastAsia="ru-RU"/>
        </w:rPr>
        <w:t>О</w:t>
      </w:r>
      <w:r w:rsidRPr="00233D2C">
        <w:rPr>
          <w:rFonts w:ascii="Times New Roman" w:hAnsi="Times New Roman" w:cs="Times New Roman"/>
          <w:sz w:val="30"/>
          <w:szCs w:val="30"/>
          <w:lang w:val="en-GB" w:eastAsia="ru-RU"/>
        </w:rPr>
        <w:t xml:space="preserve"> </w:t>
      </w:r>
      <w:r w:rsidRPr="00233D2C">
        <w:rPr>
          <w:rFonts w:ascii="Times New Roman" w:hAnsi="Times New Roman" w:cs="Times New Roman"/>
          <w:sz w:val="30"/>
          <w:szCs w:val="30"/>
        </w:rPr>
        <w:t>Due to its unique self-cleaning design, filtration at finer apertures is possible.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lang w:val="ru-RU" w:eastAsia="ru-RU"/>
        </w:rPr>
        <w:t>О</w:t>
      </w:r>
      <w:r w:rsidRPr="00233D2C">
        <w:rPr>
          <w:rFonts w:ascii="Times New Roman" w:hAnsi="Times New Roman" w:cs="Times New Roman"/>
          <w:sz w:val="30"/>
          <w:szCs w:val="30"/>
          <w:lang w:val="en-GB" w:eastAsia="ru-RU"/>
        </w:rPr>
        <w:t xml:space="preserve"> </w:t>
      </w:r>
      <w:r w:rsidRPr="00233D2C">
        <w:rPr>
          <w:rFonts w:ascii="Times New Roman" w:hAnsi="Times New Roman" w:cs="Times New Roman"/>
          <w:sz w:val="30"/>
          <w:szCs w:val="30"/>
        </w:rPr>
        <w:t>With its in-line design the Russell Eco Filter®fits neatly into any process line.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 number of industrial clients required a simpler, cleaner burning fuel oil than the market offered from filtered waste oil,” says Poisson. “Before burning, typical filtered waste oil has to be pre-screened by the user in several steps, and it leaves more residue than desired.”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waste oil contained a variable percentage of solids that rapidly clogged our static filters,” says Poisson. “A dedicated operator had to manually clean the filters every 10 to 60 minutes, depending on the concentration of solids. Each time, he had to remove the filter cartridge, clean and replace it, then restart production. It was too slow, labor intensive, and costly.”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Traditionally, Global Recuperation and other processors in the Quebec-area filtered waste oil with static filter cartridges at 20-mesh (900 micron). But there were production challenges with this approach.</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To produce a cleaner, higher-grade fuel oil from waste oil and to streamline production, Global Recuperation turned to a state-of-the-art, self-cleaning filtration system from Russell Finex.</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 “With the self-cleaning filter screening at 150-microns, our process removes more foreign particulate from waste oil, including tiny ice crystals that can form in winter, resulting in a cleaner burning fuel oil with less residue,” says Poisson. “Because there are fewer particulates, our high-grade fuel product only needs to be pre-screened once before use, unlike inferior fuel oil which needs to be pre-screened several times. Fuel pumps last longer too, due to the better filtration.”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“My customers pay for fuel oil, not impurities or water, and that's what they get,” adds Poisson.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Since the Self-Cleaning Russell Eco Filter® system integrates directly into the </w:t>
      </w:r>
      <w:proofErr w:type="gramStart"/>
      <w:r w:rsidRPr="00233D2C">
        <w:rPr>
          <w:rFonts w:ascii="Times New Roman" w:hAnsi="Times New Roman" w:cs="Times New Roman"/>
          <w:sz w:val="30"/>
          <w:szCs w:val="30"/>
        </w:rPr>
        <w:t>pipeline,</w:t>
      </w:r>
      <w:proofErr w:type="gramEnd"/>
      <w:r w:rsidRPr="00233D2C">
        <w:rPr>
          <w:rFonts w:ascii="Times New Roman" w:hAnsi="Times New Roman" w:cs="Times New Roman"/>
          <w:sz w:val="30"/>
          <w:szCs w:val="30"/>
        </w:rPr>
        <w:t xml:space="preserve"> it eliminates labor-intensive manual cleaning tasks such as changing filter bags or cleaning filtration baskets. The filter element is kept continuously clean via a unique spiral wiper design, ensuring optimum filtration efficiency. Because of its design, cleaning the filter between batch runs is quick and easy with minimal disruption during production changeovers. Additionally, a unique Q-Tap valve allows the sampling of freshly filtered material so quality can be easily monitored on the fly without interrupting production.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Compared to previous manually-cleaned filters, the new filter system is </w:t>
      </w:r>
      <w:r w:rsidRPr="00233D2C">
        <w:rPr>
          <w:rFonts w:ascii="Times New Roman" w:hAnsi="Times New Roman" w:cs="Times New Roman"/>
          <w:sz w:val="30"/>
          <w:szCs w:val="30"/>
        </w:rPr>
        <w:lastRenderedPageBreak/>
        <w:t>saving the company a substantial amount of labor and downtime.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automatic wiper removes all solids that stick to the filter so it's always clean,” says Poisson. “An operator just keeps an eye on the system and spends his time on other shop tasks. Eliminating the downtime of cartridge cleaning and replacement has dramatically improved production workflow. We've reduced labor by 75% and cut maintenance by 50%.”</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Because the self-cleaning filter is totally enclosed, it also prevents outside pollutants from contaminating product and protects operators from any spillage or fumes. Users see substantial improvement in product purity, throughput and waste elimination; and a choice of easily swapped filter elements can give additional flexibility to meet the quality demands of customers.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As companies like Global Recuperation are discovering, the Self-Cleaning Russell Eco Filter</w:t>
      </w:r>
      <w:r w:rsidRPr="00233D2C">
        <w:rPr>
          <w:rFonts w:ascii="Times New Roman" w:hAnsi="Times New Roman" w:cs="Times New Roman"/>
          <w:sz w:val="30"/>
          <w:szCs w:val="30"/>
          <w:vertAlign w:val="superscript"/>
        </w:rPr>
        <w:t>®</w:t>
      </w:r>
      <w:r w:rsidRPr="00233D2C">
        <w:rPr>
          <w:rFonts w:ascii="Times New Roman" w:hAnsi="Times New Roman" w:cs="Times New Roman"/>
          <w:sz w:val="30"/>
          <w:szCs w:val="30"/>
        </w:rPr>
        <w:t xml:space="preserve"> fits neatly into existing production lines, in many instances adding significant capacity without requiring excessive space. “The self cleaning filter takes up 60% less space than our old static filters,” says Poisson. “This has freed up production space that will help us expand within our existing facilities as business grows.”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“Since my operators don't need to remove filter cartridges, they don't expose themselves to vapors or waste oil contaminants,” says Poisson. “My operators are happier, and there's no smell of waste oil in the shop.”</w:t>
      </w:r>
    </w:p>
    <w:p w:rsidR="00A115FA" w:rsidRPr="00233D2C" w:rsidRDefault="00A115FA" w:rsidP="00A115FA">
      <w:pPr>
        <w:ind w:firstLine="724"/>
        <w:jc w:val="both"/>
        <w:rPr>
          <w:rFonts w:ascii="Times New Roman" w:hAnsi="Times New Roman" w:cs="Times New Roman"/>
          <w:sz w:val="30"/>
          <w:szCs w:val="30"/>
        </w:rPr>
      </w:pPr>
    </w:p>
    <w:p w:rsidR="00A115FA" w:rsidRPr="00233D2C" w:rsidRDefault="00A115FA" w:rsidP="00A115FA">
      <w:pPr>
        <w:ind w:left="724"/>
        <w:jc w:val="center"/>
        <w:rPr>
          <w:rFonts w:ascii="Times New Roman" w:hAnsi="Times New Roman" w:cs="Times New Roman"/>
          <w:b/>
          <w:bCs/>
          <w:color w:val="auto"/>
          <w:sz w:val="30"/>
          <w:szCs w:val="30"/>
          <w:lang w:eastAsia="ru-RU"/>
        </w:rPr>
      </w:pPr>
      <w:r w:rsidRPr="00233D2C">
        <w:rPr>
          <w:rFonts w:ascii="Times New Roman" w:hAnsi="Times New Roman" w:cs="Times New Roman"/>
          <w:b/>
          <w:sz w:val="30"/>
          <w:szCs w:val="30"/>
        </w:rPr>
        <w:t xml:space="preserve">3. </w:t>
      </w:r>
      <w:r w:rsidRPr="00233D2C">
        <w:rPr>
          <w:rFonts w:ascii="Times New Roman" w:hAnsi="Times New Roman" w:cs="Times New Roman"/>
          <w:b/>
          <w:bCs/>
          <w:sz w:val="30"/>
          <w:szCs w:val="30"/>
        </w:rPr>
        <w:t>DISPOSAL OF PETROLEUM WASTES ON OIL-PRODUCING PROPERTIES</w:t>
      </w:r>
    </w:p>
    <w:p w:rsidR="00A115FA" w:rsidRPr="00233D2C" w:rsidRDefault="00A115FA" w:rsidP="00A115FA">
      <w:pPr>
        <w:ind w:firstLine="724"/>
        <w:jc w:val="both"/>
        <w:rPr>
          <w:rFonts w:ascii="Times New Roman" w:hAnsi="Times New Roman" w:cs="Times New Roman"/>
          <w:sz w:val="30"/>
          <w:szCs w:val="30"/>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attention of operators of oil-producing properties long has been directed toward methods of disposing of petroleum wastes as well as the disposal of oil-field brines. The problem of dispos</w:t>
      </w:r>
      <w:r w:rsidRPr="00233D2C">
        <w:rPr>
          <w:rFonts w:ascii="Times New Roman" w:hAnsi="Times New Roman" w:cs="Times New Roman"/>
          <w:sz w:val="30"/>
          <w:szCs w:val="30"/>
        </w:rPr>
        <w:softHyphen/>
        <w:t>ing of petroleum wastes is not easy to solve, and although many operators are to be commended for the efforts they have made, much work remains to be done before the problem can be con</w:t>
      </w:r>
      <w:r w:rsidRPr="00233D2C">
        <w:rPr>
          <w:rFonts w:ascii="Times New Roman" w:hAnsi="Times New Roman" w:cs="Times New Roman"/>
          <w:sz w:val="30"/>
          <w:szCs w:val="30"/>
        </w:rPr>
        <w:softHyphen/>
        <w:t>sidered solved.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Petroleum wastes include emulsions of petroleum and brine or mixtures of petroleum and sand that cannot be "broken down" or treated economically by known methods of separating petro</w:t>
      </w:r>
      <w:r w:rsidRPr="00233D2C">
        <w:rPr>
          <w:rFonts w:ascii="Times New Roman" w:hAnsi="Times New Roman" w:cs="Times New Roman"/>
          <w:sz w:val="30"/>
          <w:szCs w:val="30"/>
        </w:rPr>
        <w:softHyphen/>
        <w:t>leum from deleterious matter; crude petroleum that escapes from pipe lines, fittings, and tanks because of holes in the lines, leaky connections, or some accident; and oil-saturated materials that accumulate accidentally or otherwise in the normal operation of an oil-producing property.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These wastes should be isolated and handled separately from the oil-field brines, for although both may cause damage to fresh</w:t>
      </w:r>
      <w:r w:rsidRPr="00233D2C">
        <w:rPr>
          <w:rFonts w:ascii="Times New Roman" w:hAnsi="Times New Roman" w:cs="Times New Roman"/>
          <w:sz w:val="30"/>
          <w:szCs w:val="30"/>
        </w:rPr>
        <w:softHyphen/>
        <w:t>water supplies, vegetation, and aquatic and animal life, their proper disposal requires entirely different methods. Many oper</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ators attempt to handle wastes in their brine-</w:t>
      </w:r>
      <w:r w:rsidRPr="00233D2C">
        <w:rPr>
          <w:rFonts w:ascii="Times New Roman" w:hAnsi="Times New Roman" w:cs="Times New Roman"/>
          <w:sz w:val="30"/>
          <w:szCs w:val="30"/>
        </w:rPr>
        <w:lastRenderedPageBreak/>
        <w:t xml:space="preserve">disposal systems, but those most experienced in the disposal of petroleum wastes have found a distinct advantage in handling brine and petroleum wastes separately. In other words, the most efficient method of disposing of petroleum wastes differs from that best adapted to disposing of oil-well </w:t>
      </w:r>
      <w:proofErr w:type="gramStart"/>
      <w:r w:rsidRPr="00233D2C">
        <w:rPr>
          <w:rFonts w:ascii="Times New Roman" w:hAnsi="Times New Roman" w:cs="Times New Roman"/>
          <w:sz w:val="30"/>
          <w:szCs w:val="30"/>
        </w:rPr>
        <w:t>brines,</w:t>
      </w:r>
      <w:proofErr w:type="gramEnd"/>
      <w:r w:rsidRPr="00233D2C">
        <w:rPr>
          <w:rFonts w:ascii="Times New Roman" w:hAnsi="Times New Roman" w:cs="Times New Roman"/>
          <w:sz w:val="30"/>
          <w:szCs w:val="30"/>
        </w:rPr>
        <w:t xml:space="preserve"> and the two cannot be carried on sat</w:t>
      </w:r>
      <w:r w:rsidRPr="00233D2C">
        <w:rPr>
          <w:rFonts w:ascii="Times New Roman" w:hAnsi="Times New Roman" w:cs="Times New Roman"/>
          <w:sz w:val="30"/>
          <w:szCs w:val="30"/>
        </w:rPr>
        <w:softHyphen/>
        <w:t>isfactorily as one operation. For example, oil-field brines fre</w:t>
      </w:r>
      <w:r w:rsidRPr="00233D2C">
        <w:rPr>
          <w:rFonts w:ascii="Times New Roman" w:hAnsi="Times New Roman" w:cs="Times New Roman"/>
          <w:sz w:val="30"/>
          <w:szCs w:val="30"/>
        </w:rPr>
        <w:softHyphen/>
        <w:t>quently can be disposed of most economically by allowing them to accumulate in ponds or settling basins, from which they are permitted to escape during periods of heavy rainfall into streams flowing at flood stage. Careful regulation of the volume of brine entering the fresh water streams should cause no noticeable or at least no damaging increase in mineral content of the water. How</w:t>
      </w:r>
      <w:r w:rsidRPr="00233D2C">
        <w:rPr>
          <w:rFonts w:ascii="Times New Roman" w:hAnsi="Times New Roman" w:cs="Times New Roman"/>
          <w:sz w:val="30"/>
          <w:szCs w:val="30"/>
        </w:rPr>
        <w:softHyphen/>
        <w:t>ever, if oil is allowed to accumulate in the ponds and eventually is released with the brine, considerable damage might ensue to vegetation along the banks of the stieam and to the water supply of down-stream communities.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Although much of the petroleum that enters a brine pond can be burned, complete destruction by fire of all the oil on top of the brine is seldom possible, and the heavy, unburned ends even</w:t>
      </w:r>
      <w:r w:rsidRPr="00233D2C">
        <w:rPr>
          <w:rFonts w:ascii="Times New Roman" w:hAnsi="Times New Roman" w:cs="Times New Roman"/>
          <w:sz w:val="30"/>
          <w:szCs w:val="30"/>
        </w:rPr>
        <w:softHyphen/>
        <w:t>tually find their way into fresh-water streams.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problem of the disposal of petroleum wastes and oil-field brines is so acute in certain parts of the United States, especially in the agricultural areas, that it has been the basis of a study by Bureau of Mines Engineers under a cooperative agreement be</w:t>
      </w:r>
      <w:r w:rsidRPr="00233D2C">
        <w:rPr>
          <w:rFonts w:ascii="Times New Roman" w:hAnsi="Times New Roman" w:cs="Times New Roman"/>
          <w:sz w:val="30"/>
          <w:szCs w:val="30"/>
        </w:rPr>
        <w:softHyphen/>
        <w:t xml:space="preserve">tween the Kansas State Board of Health and the Bureau of Mines. The studies are far from complete, and the problem is long- continuing one. However, information and data already acquired regarding disposal of petroleum wastes, including descriptions of methods now used to handle such accumulations with </w:t>
      </w:r>
      <w:proofErr w:type="gramStart"/>
      <w:r w:rsidRPr="00233D2C">
        <w:rPr>
          <w:rFonts w:ascii="Times New Roman" w:hAnsi="Times New Roman" w:cs="Times New Roman"/>
          <w:sz w:val="30"/>
          <w:szCs w:val="30"/>
        </w:rPr>
        <w:t>safety,</w:t>
      </w:r>
      <w:proofErr w:type="gramEnd"/>
      <w:r w:rsidRPr="00233D2C">
        <w:rPr>
          <w:rFonts w:ascii="Times New Roman" w:hAnsi="Times New Roman" w:cs="Times New Roman"/>
          <w:sz w:val="30"/>
          <w:szCs w:val="30"/>
        </w:rPr>
        <w:t xml:space="preserve"> should assist operators to cope with some of the deleterious ef</w:t>
      </w:r>
      <w:r w:rsidRPr="00233D2C">
        <w:rPr>
          <w:rFonts w:ascii="Times New Roman" w:hAnsi="Times New Roman" w:cs="Times New Roman"/>
          <w:sz w:val="30"/>
          <w:szCs w:val="30"/>
        </w:rPr>
        <w:softHyphen/>
        <w:t>fects of inadequate and inefficient waste disposal. To that end, publication of this report has been prompted.</w:t>
      </w:r>
    </w:p>
    <w:p w:rsidR="00A115FA" w:rsidRPr="00233D2C" w:rsidRDefault="00A115FA" w:rsidP="00A115FA">
      <w:pPr>
        <w:tabs>
          <w:tab w:val="left" w:pos="362"/>
        </w:tabs>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b/>
          <w:bCs/>
          <w:sz w:val="30"/>
          <w:szCs w:val="30"/>
        </w:rPr>
      </w:pPr>
      <w:r w:rsidRPr="00233D2C">
        <w:rPr>
          <w:rFonts w:ascii="Times New Roman" w:hAnsi="Times New Roman" w:cs="Times New Roman"/>
          <w:b/>
          <w:bCs/>
          <w:sz w:val="30"/>
          <w:szCs w:val="30"/>
        </w:rPr>
        <w:t>3.1 Reduction of crude-oil wastes on oil-producing properties</w:t>
      </w:r>
    </w:p>
    <w:p w:rsidR="00A115FA" w:rsidRPr="00233D2C" w:rsidRDefault="00A115FA" w:rsidP="00A115FA">
      <w:pPr>
        <w:ind w:firstLine="724"/>
        <w:jc w:val="both"/>
        <w:rPr>
          <w:rFonts w:ascii="Times New Roman" w:hAnsi="Times New Roman" w:cs="Times New Roman"/>
          <w:b/>
          <w:bCs/>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old axiom that an ounce of prevention is worth a pound of cure is directly applicable to the reduction of crude-oil wastes on oil-producing properties. It is true that from time to time ac</w:t>
      </w:r>
      <w:r w:rsidRPr="00233D2C">
        <w:rPr>
          <w:rFonts w:ascii="Times New Roman" w:hAnsi="Times New Roman" w:cs="Times New Roman"/>
          <w:sz w:val="30"/>
          <w:szCs w:val="30"/>
        </w:rPr>
        <w:softHyphen/>
        <w:t>cidents occur in which crude oil inadvertently is "spilled" on the ground; also, in some areas crude-oil emulsions are produced that are exceedingly difficult and sometimes costly to "break down." Nevertheless, on most properties that present an unsightly ap</w:t>
      </w:r>
      <w:r w:rsidRPr="00233D2C">
        <w:rPr>
          <w:rFonts w:ascii="Times New Roman" w:hAnsi="Times New Roman" w:cs="Times New Roman"/>
          <w:sz w:val="30"/>
          <w:szCs w:val="30"/>
        </w:rPr>
        <w:softHyphen/>
        <w:t xml:space="preserve">pearance because of oil accumulations, and where oil wastes are allowed to escape into streams during rainy seasons, these slovenly conditions and unsanctioned principles can be remedied by ordinary care and attention by the operator. The writers have discussed good lease "housekeeping" with many operators in the field, and every operator of a well-kept property has </w:t>
      </w:r>
      <w:r w:rsidRPr="00233D2C">
        <w:rPr>
          <w:rFonts w:ascii="Times New Roman" w:hAnsi="Times New Roman" w:cs="Times New Roman"/>
          <w:sz w:val="30"/>
          <w:szCs w:val="30"/>
        </w:rPr>
        <w:lastRenderedPageBreak/>
        <w:t>stated that good practice is not only sound business but that it results in re</w:t>
      </w:r>
      <w:r w:rsidRPr="00233D2C">
        <w:rPr>
          <w:rFonts w:ascii="Times New Roman" w:hAnsi="Times New Roman" w:cs="Times New Roman"/>
          <w:sz w:val="30"/>
          <w:szCs w:val="30"/>
        </w:rPr>
        <w:softHyphen/>
        <w:t>duction of fire hazards and the size of damage claims, lessens in</w:t>
      </w:r>
      <w:r w:rsidRPr="00233D2C">
        <w:rPr>
          <w:rFonts w:ascii="Times New Roman" w:hAnsi="Times New Roman" w:cs="Times New Roman"/>
          <w:sz w:val="30"/>
          <w:szCs w:val="30"/>
        </w:rPr>
        <w:softHyphen/>
        <w:t>juries to workmen, and minimizes unnecessary loss of materials and equipment. As one operator asked so pertinently, "Why spend money to bring the oil to the surface and then allow it to leak out or spill on the ground?"</w:t>
      </w:r>
    </w:p>
    <w:p w:rsidR="00A115FA" w:rsidRPr="00233D2C" w:rsidRDefault="00A115FA" w:rsidP="00A115FA">
      <w:pPr>
        <w:ind w:firstLine="724"/>
        <w:jc w:val="both"/>
        <w:rPr>
          <w:rFonts w:ascii="Times New Roman" w:hAnsi="Times New Roman" w:cs="Times New Roman"/>
          <w:bCs/>
          <w:color w:val="auto"/>
          <w:sz w:val="30"/>
          <w:szCs w:val="30"/>
          <w:lang w:eastAsia="ru-RU"/>
        </w:rPr>
      </w:pPr>
      <w:r w:rsidRPr="00233D2C">
        <w:rPr>
          <w:rFonts w:ascii="Times New Roman" w:hAnsi="Times New Roman" w:cs="Times New Roman"/>
          <w:bCs/>
          <w:sz w:val="30"/>
          <w:szCs w:val="30"/>
        </w:rPr>
        <w:t>Care of Surface Equipment of Oil Wells and Lead Lines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Poorly packed and neglected stuffing boxes are one of the most constant and prolific causes of loss of crude oil at pump</w:t>
      </w:r>
      <w:r w:rsidRPr="00233D2C">
        <w:rPr>
          <w:rFonts w:ascii="Times New Roman" w:hAnsi="Times New Roman" w:cs="Times New Roman"/>
          <w:sz w:val="30"/>
          <w:szCs w:val="30"/>
        </w:rPr>
        <w:softHyphen/>
        <w:t>ing wells. Many wells equipped with "bleeder" valves on the lead lines near the wellhead also spill crude oil, as such valves often become so badly worn that oil drips from them continuously. Moreover, cracked or badly worn wellhead fittings and controls often leak. From casual observation, such crude-oil leakage may appear to be unimportant, but after a time the derrick floor and the entire well location will become very unsightly. During pe</w:t>
      </w:r>
      <w:r w:rsidRPr="00233D2C">
        <w:rPr>
          <w:rFonts w:ascii="Times New Roman" w:hAnsi="Times New Roman" w:cs="Times New Roman"/>
          <w:sz w:val="30"/>
          <w:szCs w:val="30"/>
        </w:rPr>
        <w:softHyphen/>
        <w:t>riods of rainfall, the crude oil that has collected in depressions on the surface of the ground is carried over surrounding vegetation</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and into fresh-water courses. Figure 1 shows the surface equip</w:t>
      </w:r>
      <w:r w:rsidRPr="00233D2C">
        <w:rPr>
          <w:rFonts w:ascii="Times New Roman" w:hAnsi="Times New Roman" w:cs="Times New Roman"/>
          <w:sz w:val="30"/>
          <w:szCs w:val="30"/>
        </w:rPr>
        <w:softHyphen/>
        <w:t>ment at a small producing well, which, from the standpoint of "good housekeeping," is operated very inefficiently.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Crude oil spilled when rods and tubing are pulled is responsi</w:t>
      </w:r>
      <w:r w:rsidRPr="00233D2C">
        <w:rPr>
          <w:rFonts w:ascii="Times New Roman" w:hAnsi="Times New Roman" w:cs="Times New Roman"/>
          <w:sz w:val="30"/>
          <w:szCs w:val="30"/>
        </w:rPr>
        <w:softHyphen/>
        <w:t>ble for unsightly well locations and, in addition, often is the source of material surface pollution. Figure 2 shows how one operator of a small producing well prevents oil from flowing over the ground about the well site. A shallow ditch around the well terminates in a sump, from which the oil may be recovered in the event of an excessive spill or leak. Normally, a few shovels of fresh earth leveled around the well location after a rod-pulling job keeps the property looking neat and trim and helps to reduce the possibility of oil being washed from the well site into drainage channels that lead to fresh-water supplies.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more recently developed fields, where the large volume of oil produced warrants the additional expense, many companies use either gravel or sand to surface ground-level derrick floors</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lastRenderedPageBreak/>
        <w:drawing>
          <wp:inline distT="0" distB="0" distL="0" distR="0">
            <wp:extent cx="3780155" cy="2879725"/>
            <wp:effectExtent l="0" t="0" r="0" b="0"/>
            <wp:docPr id="5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0155" cy="2879725"/>
                    </a:xfrm>
                    <a:prstGeom prst="rect">
                      <a:avLst/>
                    </a:prstGeom>
                    <a:noFill/>
                    <a:ln>
                      <a:noFill/>
                    </a:ln>
                  </pic:spPr>
                </pic:pic>
              </a:graphicData>
            </a:graphic>
          </wp:inline>
        </w:drawing>
      </w:r>
    </w:p>
    <w:p w:rsidR="00A115FA" w:rsidRPr="00233D2C" w:rsidRDefault="00A115FA" w:rsidP="00A115FA">
      <w:pPr>
        <w:tabs>
          <w:tab w:val="left" w:pos="3211"/>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prevent</w:t>
      </w:r>
      <w:proofErr w:type="gramEnd"/>
      <w:r w:rsidRPr="00233D2C">
        <w:rPr>
          <w:rFonts w:ascii="Times New Roman" w:hAnsi="Times New Roman" w:cs="Times New Roman"/>
          <w:sz w:val="30"/>
          <w:szCs w:val="30"/>
        </w:rPr>
        <w:t xml:space="preserve"> accumulations of oil from </w:t>
      </w:r>
      <w:r w:rsidRPr="00233D2C">
        <w:rPr>
          <w:rFonts w:ascii="Times New Roman" w:hAnsi="Times New Roman" w:cs="Times New Roman"/>
          <w:sz w:val="30"/>
          <w:szCs w:val="30"/>
          <w:vertAlign w:val="superscript"/>
        </w:rPr>
        <w:t>Figure 1</w:t>
      </w:r>
      <w:r w:rsidRPr="00233D2C">
        <w:rPr>
          <w:rFonts w:ascii="Times New Roman" w:hAnsi="Times New Roman" w:cs="Times New Roman"/>
          <w:sz w:val="30"/>
          <w:szCs w:val="30"/>
        </w:rPr>
        <w:t>*—</w:t>
      </w:r>
      <w:r w:rsidRPr="00233D2C">
        <w:rPr>
          <w:rFonts w:ascii="Times New Roman" w:hAnsi="Times New Roman" w:cs="Times New Roman"/>
          <w:sz w:val="30"/>
          <w:szCs w:val="30"/>
          <w:vertAlign w:val="superscript"/>
        </w:rPr>
        <w:t>S</w:t>
      </w:r>
      <w:r w:rsidRPr="00233D2C">
        <w:rPr>
          <w:rFonts w:ascii="Times New Roman" w:hAnsi="Times New Roman" w:cs="Times New Roman"/>
          <w:sz w:val="30"/>
          <w:szCs w:val="30"/>
        </w:rPr>
        <w:t>l°ve</w:t>
      </w:r>
      <w:r w:rsidRPr="00233D2C">
        <w:rPr>
          <w:rFonts w:ascii="Times New Roman" w:hAnsi="Times New Roman" w:cs="Times New Roman"/>
          <w:sz w:val="30"/>
          <w:szCs w:val="30"/>
          <w:vertAlign w:val="superscript"/>
        </w:rPr>
        <w:t>n</w:t>
      </w:r>
      <w:r w:rsidRPr="00233D2C">
        <w:rPr>
          <w:rFonts w:ascii="Times New Roman" w:hAnsi="Times New Roman" w:cs="Times New Roman"/>
          <w:sz w:val="30"/>
          <w:szCs w:val="30"/>
        </w:rPr>
        <w:t xml:space="preserve">ly well sUe. </w:t>
      </w:r>
      <w:r w:rsidRPr="00233D2C">
        <w:rPr>
          <w:rFonts w:ascii="Times New Roman" w:hAnsi="Times New Roman" w:cs="Times New Roman"/>
          <w:sz w:val="30"/>
          <w:szCs w:val="30"/>
          <w:vertAlign w:val="superscript"/>
        </w:rPr>
        <w:t>Note</w:t>
      </w:r>
      <w:r w:rsidRPr="00233D2C">
        <w:rPr>
          <w:rFonts w:ascii="Times New Roman" w:hAnsi="Times New Roman" w:cs="Times New Roman"/>
          <w:sz w:val="30"/>
          <w:szCs w:val="30"/>
        </w:rPr>
        <w:tab/>
        <w:t>spills when tubing or rods are</w:t>
      </w:r>
    </w:p>
    <w:p w:rsidR="00A115FA" w:rsidRPr="00233D2C" w:rsidRDefault="00A115FA" w:rsidP="00A115FA">
      <w:pPr>
        <w:tabs>
          <w:tab w:val="left" w:pos="3218"/>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leaking</w:t>
      </w:r>
      <w:proofErr w:type="gramEnd"/>
      <w:r w:rsidRPr="00233D2C">
        <w:rPr>
          <w:rFonts w:ascii="Times New Roman" w:hAnsi="Times New Roman" w:cs="Times New Roman"/>
          <w:sz w:val="30"/>
          <w:szCs w:val="30"/>
        </w:rPr>
        <w:t xml:space="preserve"> connections and oil-soaked</w:t>
      </w:r>
      <w:r w:rsidRPr="00233D2C">
        <w:rPr>
          <w:rFonts w:ascii="Times New Roman" w:hAnsi="Times New Roman" w:cs="Times New Roman"/>
          <w:sz w:val="30"/>
          <w:szCs w:val="30"/>
        </w:rPr>
        <w:tab/>
        <w:t xml:space="preserve">pulled. There </w:t>
      </w:r>
      <w:proofErr w:type="gramStart"/>
      <w:r w:rsidRPr="00233D2C">
        <w:rPr>
          <w:rFonts w:ascii="Times New Roman" w:hAnsi="Times New Roman" w:cs="Times New Roman"/>
          <w:sz w:val="30"/>
          <w:szCs w:val="30"/>
        </w:rPr>
        <w:t>are</w:t>
      </w:r>
      <w:proofErr w:type="gramEnd"/>
      <w:r w:rsidRPr="00233D2C">
        <w:rPr>
          <w:rFonts w:ascii="Times New Roman" w:hAnsi="Times New Roman" w:cs="Times New Roman"/>
          <w:sz w:val="30"/>
          <w:szCs w:val="30"/>
        </w:rPr>
        <w:t xml:space="preserve"> no leaking con-</w:t>
      </w:r>
    </w:p>
    <w:p w:rsidR="00A115FA" w:rsidRPr="00233D2C" w:rsidRDefault="00A115FA" w:rsidP="00A115FA">
      <w:pPr>
        <w:tabs>
          <w:tab w:val="left" w:pos="3213"/>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debris</w:t>
      </w:r>
      <w:proofErr w:type="gramEnd"/>
      <w:r w:rsidRPr="00233D2C">
        <w:rPr>
          <w:rFonts w:ascii="Times New Roman" w:hAnsi="Times New Roman" w:cs="Times New Roman"/>
          <w:sz w:val="30"/>
          <w:szCs w:val="30"/>
        </w:rPr>
        <w:t xml:space="preserve"> around surface equipment.</w:t>
      </w:r>
      <w:r w:rsidRPr="00233D2C">
        <w:rPr>
          <w:rFonts w:ascii="Times New Roman" w:hAnsi="Times New Roman" w:cs="Times New Roman"/>
          <w:sz w:val="30"/>
          <w:szCs w:val="30"/>
        </w:rPr>
        <w:tab/>
      </w:r>
      <w:proofErr w:type="gramStart"/>
      <w:r w:rsidRPr="00233D2C">
        <w:rPr>
          <w:rFonts w:ascii="Times New Roman" w:hAnsi="Times New Roman" w:cs="Times New Roman"/>
          <w:sz w:val="30"/>
          <w:szCs w:val="30"/>
        </w:rPr>
        <w:t>nections</w:t>
      </w:r>
      <w:proofErr w:type="gramEnd"/>
      <w:r w:rsidRPr="00233D2C">
        <w:rPr>
          <w:rFonts w:ascii="Times New Roman" w:hAnsi="Times New Roman" w:cs="Times New Roman"/>
          <w:sz w:val="30"/>
          <w:szCs w:val="30"/>
        </w:rPr>
        <w: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14</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780155" cy="2552065"/>
            <wp:effectExtent l="0" t="0" r="0" b="635"/>
            <wp:docPr id="5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0155" cy="255206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3.—Modern well site in western Kansas oil field. Well is equipped with individual pumping unit, derrick legs are set in concrete posts, and the derrick floor consists of a gravel fill held in place with a concrete retaining wall. Around the well-head is a wooden floor that is removable. The site is well drained.</w:t>
      </w:r>
    </w:p>
    <w:p w:rsidR="00A115FA" w:rsidRPr="00233D2C" w:rsidRDefault="00A115FA" w:rsidP="00A115FA">
      <w:pPr>
        <w:tabs>
          <w:tab w:val="right" w:pos="3769"/>
          <w:tab w:val="right" w:pos="4695"/>
          <w:tab w:val="right" w:pos="5050"/>
          <w:tab w:val="left" w:pos="5195"/>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and</w:t>
      </w:r>
      <w:proofErr w:type="gramEnd"/>
      <w:r w:rsidRPr="00233D2C">
        <w:rPr>
          <w:rFonts w:ascii="Times New Roman" w:hAnsi="Times New Roman" w:cs="Times New Roman"/>
          <w:sz w:val="30"/>
          <w:szCs w:val="30"/>
        </w:rPr>
        <w:t xml:space="preserve"> surround them with concrete drainage ditches leading to con</w:t>
      </w:r>
      <w:r w:rsidRPr="00233D2C">
        <w:rPr>
          <w:rFonts w:ascii="Times New Roman" w:hAnsi="Times New Roman" w:cs="Times New Roman"/>
          <w:sz w:val="30"/>
          <w:szCs w:val="30"/>
        </w:rPr>
        <w:softHyphen/>
        <w:t>crete sumps. Many derrick floors also are made entirely of con</w:t>
      </w:r>
      <w:r w:rsidRPr="00233D2C">
        <w:rPr>
          <w:rFonts w:ascii="Times New Roman" w:hAnsi="Times New Roman" w:cs="Times New Roman"/>
          <w:sz w:val="30"/>
          <w:szCs w:val="30"/>
        </w:rPr>
        <w:softHyphen/>
        <w:t>crete. A modern derrick floor and surface equipment are shown in figure 3. The steel drum at the</w:t>
      </w:r>
      <w:r w:rsidRPr="00233D2C">
        <w:rPr>
          <w:rFonts w:ascii="Times New Roman" w:hAnsi="Times New Roman" w:cs="Times New Roman"/>
          <w:sz w:val="30"/>
          <w:szCs w:val="30"/>
        </w:rPr>
        <w:tab/>
        <w:t>-</w:t>
      </w:r>
      <w:r w:rsidRPr="00233D2C">
        <w:rPr>
          <w:rFonts w:ascii="Times New Roman" w:hAnsi="Times New Roman" w:cs="Times New Roman"/>
          <w:sz w:val="30"/>
          <w:szCs w:val="30"/>
        </w:rPr>
        <w:tab/>
        <w:t>collects</w:t>
      </w:r>
      <w:r w:rsidRPr="00233D2C">
        <w:rPr>
          <w:rFonts w:ascii="Times New Roman" w:hAnsi="Times New Roman" w:cs="Times New Roman"/>
          <w:sz w:val="30"/>
          <w:szCs w:val="30"/>
        </w:rPr>
        <w:tab/>
        <w:t>the</w:t>
      </w:r>
      <w:r w:rsidRPr="00233D2C">
        <w:rPr>
          <w:rFonts w:ascii="Times New Roman" w:hAnsi="Times New Roman" w:cs="Times New Roman"/>
          <w:sz w:val="30"/>
          <w:szCs w:val="30"/>
        </w:rPr>
        <w:tab/>
        <w:t>oil spilled</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when</w:t>
      </w:r>
      <w:proofErr w:type="gramEnd"/>
      <w:r w:rsidRPr="00233D2C">
        <w:rPr>
          <w:rFonts w:ascii="Times New Roman" w:hAnsi="Times New Roman" w:cs="Times New Roman"/>
          <w:sz w:val="30"/>
          <w:szCs w:val="30"/>
        </w:rPr>
        <w:t xml:space="preserve"> the fluid in the tubing is sampled. The bottom drain in the drum allows the fluid to flow back into the casing.</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Lead lines from wells to oil and gas separators or tank bat</w:t>
      </w:r>
      <w:r w:rsidRPr="00233D2C">
        <w:rPr>
          <w:rFonts w:ascii="Times New Roman" w:hAnsi="Times New Roman" w:cs="Times New Roman"/>
          <w:sz w:val="30"/>
          <w:szCs w:val="30"/>
        </w:rPr>
        <w:softHyphen/>
        <w:t xml:space="preserve">teries and all </w:t>
      </w:r>
      <w:r w:rsidRPr="00233D2C">
        <w:rPr>
          <w:rFonts w:ascii="Times New Roman" w:hAnsi="Times New Roman" w:cs="Times New Roman"/>
          <w:sz w:val="30"/>
          <w:szCs w:val="30"/>
        </w:rPr>
        <w:lastRenderedPageBreak/>
        <w:t>pipe lines used for transporting oil on the properties are a constant source of small leaks. Often small leaks caused by corrosion of the pipe or due to worn connections are repaired by using whatever material is immediately at hand. Usually such repairs are very unsatisfactory and short-lived. Figure 4, for ex</w:t>
      </w:r>
      <w:r w:rsidRPr="00233D2C">
        <w:rPr>
          <w:rFonts w:ascii="Times New Roman" w:hAnsi="Times New Roman" w:cs="Times New Roman"/>
          <w:sz w:val="30"/>
          <w:szCs w:val="30"/>
        </w:rPr>
        <w:softHyphen/>
        <w:t>ample, shows the result of an attempt to repair leaks in a lead line with wood plugs and a piece of rubber inner tube, soft rope, and bailing wire. The repair of leaks in corroded oil pipe lines and tanks by the use of wood plugs is a practice that should be discouraged. Such repairs are not 100 percent effective and, in</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780155" cy="2552065"/>
            <wp:effectExtent l="0" t="0" r="0" b="635"/>
            <wp:docPr id="5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0155" cy="255206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(Courtesy R. C. Mitchell, Kansas State Board of Health.) Figure 4.—</w:t>
      </w:r>
      <w:proofErr w:type="gramStart"/>
      <w:r w:rsidRPr="00233D2C">
        <w:rPr>
          <w:rFonts w:ascii="Times New Roman" w:hAnsi="Times New Roman" w:cs="Times New Roman"/>
          <w:sz w:val="30"/>
          <w:szCs w:val="30"/>
        </w:rPr>
        <w:t>A</w:t>
      </w:r>
      <w:proofErr w:type="gramEnd"/>
      <w:r w:rsidRPr="00233D2C">
        <w:rPr>
          <w:rFonts w:ascii="Times New Roman" w:hAnsi="Times New Roman" w:cs="Times New Roman"/>
          <w:sz w:val="30"/>
          <w:szCs w:val="30"/>
        </w:rPr>
        <w:t xml:space="preserve"> lease lead line with leaks repaired with wood plugs and an old tire inner tube and softrope.</w:t>
      </w:r>
      <w:r>
        <w:rPr>
          <w:rFonts w:ascii="Times New Roman" w:hAnsi="Times New Roman" w:cs="Times New Roman"/>
          <w:sz w:val="30"/>
          <w:szCs w:val="30"/>
          <w:lang w:val="kk-KZ"/>
        </w:rPr>
        <w:t xml:space="preserve"> </w:t>
      </w:r>
      <w:proofErr w:type="gramStart"/>
      <w:r w:rsidRPr="00233D2C">
        <w:rPr>
          <w:rFonts w:ascii="Times New Roman" w:hAnsi="Times New Roman" w:cs="Times New Roman"/>
          <w:sz w:val="30"/>
          <w:szCs w:val="30"/>
        </w:rPr>
        <w:t>addition</w:t>
      </w:r>
      <w:proofErr w:type="gramEnd"/>
      <w:r w:rsidRPr="00233D2C">
        <w:rPr>
          <w:rFonts w:ascii="Times New Roman" w:hAnsi="Times New Roman" w:cs="Times New Roman"/>
          <w:sz w:val="30"/>
          <w:szCs w:val="30"/>
        </w:rPr>
        <w:t>, there is always the hazard of a big "spill" if one of the</w:t>
      </w:r>
      <w:r>
        <w:rPr>
          <w:rFonts w:ascii="Times New Roman" w:hAnsi="Times New Roman" w:cs="Times New Roman"/>
          <w:sz w:val="30"/>
          <w:szCs w:val="30"/>
          <w:lang w:val="kk-KZ"/>
        </w:rPr>
        <w:t xml:space="preserve"> </w:t>
      </w:r>
      <w:r w:rsidRPr="00233D2C">
        <w:rPr>
          <w:rFonts w:ascii="Times New Roman" w:hAnsi="Times New Roman" w:cs="Times New Roman"/>
          <w:sz w:val="30"/>
          <w:szCs w:val="30"/>
        </w:rPr>
        <w:t>pegs should be broken or blown out.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Progressive operators consider it good practice to bury all oil pipelines on the leases to reduce the number of breaks and small leaks caused by automobiles, trucks, wagons, and other vehicles in crossing exposed lines. Furthermore, crude petroleum flowing through pipe </w:t>
      </w:r>
      <w:proofErr w:type="gramStart"/>
      <w:r w:rsidRPr="00233D2C">
        <w:rPr>
          <w:rFonts w:ascii="Times New Roman" w:hAnsi="Times New Roman" w:cs="Times New Roman"/>
          <w:sz w:val="30"/>
          <w:szCs w:val="30"/>
        </w:rPr>
        <w:t>lines lying on the surface of the ground is</w:t>
      </w:r>
      <w:proofErr w:type="gramEnd"/>
      <w:r w:rsidRPr="00233D2C">
        <w:rPr>
          <w:rFonts w:ascii="Times New Roman" w:hAnsi="Times New Roman" w:cs="Times New Roman"/>
          <w:sz w:val="30"/>
          <w:szCs w:val="30"/>
        </w:rPr>
        <w:t xml:space="preserve"> heated a higher temperature by the sun's rays than is oil transported through buried lines, and evaporation losses are increased ma</w:t>
      </w:r>
      <w:r w:rsidRPr="00233D2C">
        <w:rPr>
          <w:rFonts w:ascii="Times New Roman" w:hAnsi="Times New Roman" w:cs="Times New Roman"/>
          <w:sz w:val="30"/>
          <w:szCs w:val="30"/>
        </w:rPr>
        <w:softHyphen/>
        <w:t>terially when the oil enters the flow and stock tanks. High oil temperatures are especially noticeable on properties that pro</w:t>
      </w:r>
      <w:r w:rsidRPr="00233D2C">
        <w:rPr>
          <w:rFonts w:ascii="Times New Roman" w:hAnsi="Times New Roman" w:cs="Times New Roman"/>
          <w:sz w:val="30"/>
          <w:szCs w:val="30"/>
        </w:rPr>
        <w:softHyphen/>
        <w:t>duce only a few barrels a day, as the movement of the crude oil through the lines is slow.</w:t>
      </w:r>
    </w:p>
    <w:p w:rsidR="00A115FA" w:rsidRPr="00233D2C" w:rsidRDefault="00A115FA" w:rsidP="00A115FA">
      <w:pPr>
        <w:ind w:firstLine="724"/>
        <w:jc w:val="both"/>
        <w:rPr>
          <w:rFonts w:ascii="Times New Roman" w:hAnsi="Times New Roman" w:cs="Times New Roman"/>
          <w:b/>
          <w:sz w:val="30"/>
          <w:szCs w:val="30"/>
        </w:rPr>
      </w:pPr>
    </w:p>
    <w:p w:rsidR="00A115FA" w:rsidRPr="00233D2C" w:rsidRDefault="00A115FA" w:rsidP="00A115FA">
      <w:pPr>
        <w:ind w:firstLine="724"/>
        <w:jc w:val="both"/>
        <w:rPr>
          <w:rFonts w:ascii="Times New Roman" w:hAnsi="Times New Roman" w:cs="Times New Roman"/>
          <w:b/>
          <w:bCs/>
          <w:sz w:val="30"/>
          <w:szCs w:val="30"/>
        </w:rPr>
      </w:pPr>
      <w:r w:rsidRPr="00233D2C">
        <w:rPr>
          <w:rFonts w:ascii="Times New Roman" w:hAnsi="Times New Roman" w:cs="Times New Roman"/>
          <w:b/>
          <w:bCs/>
          <w:sz w:val="30"/>
          <w:szCs w:val="30"/>
        </w:rPr>
        <w:t>3.2 Lease-tank batteries, including separators</w:t>
      </w:r>
    </w:p>
    <w:p w:rsidR="00A115FA" w:rsidRPr="00233D2C" w:rsidRDefault="00A115FA" w:rsidP="00A115FA">
      <w:pPr>
        <w:ind w:firstLine="724"/>
        <w:jc w:val="both"/>
        <w:rPr>
          <w:rFonts w:ascii="Times New Roman" w:hAnsi="Times New Roman" w:cs="Times New Roman"/>
          <w:b/>
          <w:bCs/>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tank battery probably presents the most difficult problem in good lease housekeeping. Leaks develop in the tanks and con</w:t>
      </w:r>
      <w:r w:rsidRPr="00233D2C">
        <w:rPr>
          <w:rFonts w:ascii="Times New Roman" w:hAnsi="Times New Roman" w:cs="Times New Roman"/>
          <w:sz w:val="30"/>
          <w:szCs w:val="30"/>
        </w:rPr>
        <w:softHyphen/>
        <w:t>nections, "spills" occur when tanks are carelessly overfilled, and • no disposal is made of tank bottoms when the tanks are cleaned.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lastRenderedPageBreak/>
        <w:t>On many proeprties the problem is aggravated by the necessity of separating the brine produced with the crude petroleum and the breaking down of oil and water emulsions.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5 shows a tank battery where modern equipment is em</w:t>
      </w:r>
      <w:r w:rsidRPr="00233D2C">
        <w:rPr>
          <w:rFonts w:ascii="Times New Roman" w:hAnsi="Times New Roman" w:cs="Times New Roman"/>
          <w:sz w:val="30"/>
          <w:szCs w:val="30"/>
        </w:rPr>
        <w:softHyphen/>
        <w:t>ployed for the separation of gas, water, and other deleterious substances from the oil. When a considerable amount of gas is produced with the oil, the gas-oil mixture is run first into a gas trap, where the gas is separated from the oil. On properties where the volume of gas produced does not warrant the installation of a special oil and gas separator, the production from the well is run through lead lines direct to the flow tank, where the gas sep</w:t>
      </w:r>
      <w:r w:rsidRPr="00233D2C">
        <w:rPr>
          <w:rFonts w:ascii="Times New Roman" w:hAnsi="Times New Roman" w:cs="Times New Roman"/>
          <w:sz w:val="30"/>
          <w:szCs w:val="30"/>
        </w:rPr>
        <w:softHyphen/>
        <w:t>arates from the oil and is removed from the flow tank. The oil- water-sand mixture is allowed to stand in the flow tank until the water and sand settle out of the oil. The water is withdrawn from the bottom of the flow tank, and the oil is run into the stock tanks. The length of time the oil-water mixture stands in the flow tank usually is regulated by a siphon on the water draw-off line. The heavier emulsions settle to the bottom of the flow tank and are removed whenever the accumulation interferes with the normal operation of the tank. Water from the draw-off siphon often is discolored by oily wastes, and although the amount of oil ac</w:t>
      </w:r>
      <w:r w:rsidRPr="00233D2C">
        <w:rPr>
          <w:rFonts w:ascii="Times New Roman" w:hAnsi="Times New Roman" w:cs="Times New Roman"/>
          <w:sz w:val="30"/>
          <w:szCs w:val="30"/>
        </w:rPr>
        <w:softHyphen/>
        <w:t>companying the water normally is small, it usually is enough to discolor the banks of the drainage ditches, disposal ponds, and pits. The separation of water from the oil in the flow tank is rarely complete, and a certain amount of bottom sediment and brine usually is carried over into the stock tank, from which it must be removed at intervals.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Formerly it was general practice to take care of the brine, bottom sediment, and other oily wastes from a tank battery in one pond or pit where the oil and bottom sediment were "burned off' periodically. Such installations now are considered to be very in</w:t>
      </w:r>
      <w:r w:rsidRPr="00233D2C">
        <w:rPr>
          <w:rFonts w:ascii="Times New Roman" w:hAnsi="Times New Roman" w:cs="Times New Roman"/>
          <w:sz w:val="30"/>
          <w:szCs w:val="30"/>
        </w:rPr>
        <w:softHyphen/>
        <w:t>efficient, and even with periodic burning of the oil and B.S. there is a gradual accumulation of water-logged emulsions that will not burn readily, if at all. Furthermore, some of the water-logged emulsions settle to the bottom of the pond, whereas the unburned portions that remain afloat often overflow from the pond during periods of heavy rainfall and do considerable damage to vegeta</w:t>
      </w:r>
      <w:r w:rsidRPr="00233D2C">
        <w:rPr>
          <w:rFonts w:ascii="Times New Roman" w:hAnsi="Times New Roman" w:cs="Times New Roman"/>
          <w:sz w:val="30"/>
          <w:szCs w:val="30"/>
        </w:rPr>
        <w:softHyphen/>
        <w:t>tion, as shown in figure 6.</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A more efficient lease installation is shown in figure , All</w:t>
      </w:r>
      <w:r w:rsidRPr="00E3007F">
        <w:rPr>
          <w:rFonts w:ascii="Times New Roman" w:hAnsi="Times New Roman" w:cs="Times New Roman"/>
          <w:sz w:val="30"/>
          <w:szCs w:val="30"/>
        </w:rPr>
        <w:t xml:space="preserve"> </w:t>
      </w:r>
      <w:r w:rsidRPr="00233D2C">
        <w:rPr>
          <w:rFonts w:ascii="Times New Roman" w:hAnsi="Times New Roman" w:cs="Times New Roman"/>
          <w:sz w:val="30"/>
          <w:szCs w:val="30"/>
        </w:rPr>
        <w:t>brine, oily waste, and B.S. flow from the tank battery to the pre</w:t>
      </w:r>
      <w:r w:rsidRPr="00233D2C">
        <w:rPr>
          <w:rFonts w:ascii="Times New Roman" w:hAnsi="Times New Roman" w:cs="Times New Roman"/>
          <w:sz w:val="30"/>
          <w:szCs w:val="30"/>
        </w:rPr>
        <w:softHyphen/>
        <w:t>liminary pond, from which only the brine is siphoned into the major brine pond. The accumulated waste is burned off the pre</w:t>
      </w:r>
      <w:r w:rsidRPr="00233D2C">
        <w:rPr>
          <w:rFonts w:ascii="Times New Roman" w:hAnsi="Times New Roman" w:cs="Times New Roman"/>
          <w:sz w:val="30"/>
          <w:szCs w:val="30"/>
        </w:rPr>
        <w:softHyphen/>
        <w:t>liminary pond periodically. If there is a major break or "run- over," the oil will be trapped and can be reclaimed easily. As a safety precaution, the dike separating the two ponds is lower than the surrounding dike. Thus, if the preliminary pond should boil over while burning, the flow would be trapped in the major brine pond.</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noProof/>
          <w:lang w:val="ru-RU" w:eastAsia="ru-RU" w:bidi="ar-SA"/>
        </w:rPr>
        <w:lastRenderedPageBreak/>
        <mc:AlternateContent>
          <mc:Choice Requires="wps">
            <w:drawing>
              <wp:anchor distT="0" distB="0" distL="114300" distR="114300" simplePos="0" relativeHeight="251660288" behindDoc="0" locked="0" layoutInCell="1" allowOverlap="1">
                <wp:simplePos x="0" y="0"/>
                <wp:positionH relativeFrom="column">
                  <wp:posOffset>-344805</wp:posOffset>
                </wp:positionH>
                <wp:positionV relativeFrom="paragraph">
                  <wp:posOffset>343535</wp:posOffset>
                </wp:positionV>
                <wp:extent cx="6135370" cy="1974850"/>
                <wp:effectExtent l="0" t="0" r="17780" b="11430"/>
                <wp:wrapSquare wrapText="bothSides"/>
                <wp:docPr id="67"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5370" cy="1974850"/>
                        </a:xfrm>
                        <a:prstGeom prst="rect">
                          <a:avLst/>
                        </a:prstGeom>
                        <a:solidFill>
                          <a:srgbClr val="FFFFFF"/>
                        </a:solidFill>
                        <a:ln w="9525">
                          <a:solidFill>
                            <a:srgbClr val="FFFFFF"/>
                          </a:solidFill>
                          <a:miter lim="800000"/>
                          <a:headEnd/>
                          <a:tailEnd/>
                        </a:ln>
                      </wps:spPr>
                      <wps:txbx>
                        <w:txbxContent>
                          <w:p w:rsidR="00A115FA" w:rsidRPr="000276C3" w:rsidRDefault="008872CD" w:rsidP="00A115FA">
                            <w:pPr>
                              <w:ind w:firstLine="724"/>
                              <w:jc w:val="center"/>
                              <w:rPr>
                                <w:sz w:val="28"/>
                                <w:szCs w:val="28"/>
                              </w:rPr>
                            </w:pPr>
                            <w:r>
                              <w:rPr>
                                <w:rFonts w:ascii="Times New Roman" w:hAnsi="Times New Roman" w:cs="Times New Roman"/>
                                <w:noProof/>
                                <w:color w:val="auto"/>
                                <w:sz w:val="28"/>
                                <w:szCs w:val="28"/>
                                <w:lang w:val="ru-RU" w:eastAsia="ru-RU" w:bidi="ar-SA"/>
                              </w:rPr>
                              <w:drawing>
                                <wp:inline distT="0" distB="0" distL="0" distR="0">
                                  <wp:extent cx="2060575" cy="1869440"/>
                                  <wp:effectExtent l="0" t="0" r="0" b="0"/>
                                  <wp:docPr id="3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0575" cy="186944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2" o:spid="_x0000_s1026" type="#_x0000_t202" style="position:absolute;left:0;text-align:left;margin-left:-27.15pt;margin-top:27.05pt;width:483.1pt;height:15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" strokecolor="white">
                <v:textbox style="mso-fit-shape-to-text:t">
                  <w:txbxContent>
                    <w:p w:rsidR="00A115FA" w:rsidRPr="000276C3" w:rsidRDefault="008872CD" w:rsidP="00A115FA">
                      <w:pPr>
                        <w:ind w:firstLine="724"/>
                        <w:jc w:val="center"/>
                        <w:rPr>
                          <w:sz w:val="28"/>
                          <w:szCs w:val="28"/>
                        </w:rPr>
                      </w:pPr>
                      <w:r>
                        <w:rPr>
                          <w:rFonts w:ascii="Times New Roman" w:hAnsi="Times New Roman" w:cs="Times New Roman"/>
                          <w:noProof/>
                          <w:color w:val="auto"/>
                          <w:sz w:val="28"/>
                          <w:szCs w:val="28"/>
                          <w:lang w:val="ru-RU" w:eastAsia="ru-RU" w:bidi="ar-SA"/>
                        </w:rPr>
                        <w:drawing>
                          <wp:inline distT="0" distB="0" distL="0" distR="0">
                            <wp:extent cx="2060575" cy="1869440"/>
                            <wp:effectExtent l="0" t="0" r="0" b="0"/>
                            <wp:docPr id="3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0575" cy="1869440"/>
                                    </a:xfrm>
                                    <a:prstGeom prst="rect">
                                      <a:avLst/>
                                    </a:prstGeom>
                                    <a:noFill/>
                                    <a:ln>
                                      <a:noFill/>
                                    </a:ln>
                                  </pic:spPr>
                                </pic:pic>
                              </a:graphicData>
                            </a:graphic>
                          </wp:inline>
                        </w:drawing>
                      </w:r>
                    </w:p>
                  </w:txbxContent>
                </v:textbox>
                <w10:wrap type="square"/>
              </v:shape>
            </w:pict>
          </mc:Fallback>
        </mc:AlternateConten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5.—Modern lease installation showing gas separator, flow tank for separating oil and water, and lease storage tanks.</w:t>
      </w:r>
    </w:p>
    <w:p w:rsidR="00A115FA" w:rsidRPr="00233D2C" w:rsidRDefault="008872CD" w:rsidP="00A115FA">
      <w:pPr>
        <w:ind w:firstLine="724"/>
        <w:jc w:val="both"/>
        <w:rPr>
          <w:rFonts w:ascii="Times New Roman" w:hAnsi="Times New Roman" w:cs="Times New Roman"/>
          <w:color w:val="auto"/>
          <w:sz w:val="30"/>
          <w:szCs w:val="30"/>
          <w:lang w:val="kk-KZ" w:eastAsia="ru-RU"/>
        </w:rPr>
      </w:pPr>
      <w:r>
        <w:rPr>
          <w:rFonts w:ascii="Times New Roman" w:hAnsi="Times New Roman" w:cs="Times New Roman"/>
          <w:noProof/>
          <w:color w:val="auto"/>
          <w:sz w:val="30"/>
          <w:szCs w:val="30"/>
          <w:lang w:val="ru-RU" w:eastAsia="ru-RU" w:bidi="ar-SA"/>
        </w:rPr>
        <w:drawing>
          <wp:inline distT="0" distB="0" distL="0" distR="0">
            <wp:extent cx="3548380" cy="2183765"/>
            <wp:effectExtent l="0" t="0" r="0" b="6985"/>
            <wp:docPr id="5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8380" cy="218376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sz w:val="30"/>
          <w:szCs w:val="30"/>
        </w:rPr>
      </w:pPr>
      <w:r w:rsidRPr="00233D2C">
        <w:rPr>
          <w:rFonts w:ascii="Times New Roman" w:hAnsi="Times New Roman" w:cs="Times New Roman"/>
          <w:sz w:val="30"/>
          <w:szCs w:val="30"/>
        </w:rPr>
        <w:t>Figure* 6.—Vegetation destroyed by oil-waste overflow from combination oil-waste and brine ponds.</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location of brine ponds and "burn pits" should be con</w:t>
      </w:r>
      <w:r w:rsidRPr="00233D2C">
        <w:rPr>
          <w:rFonts w:ascii="Times New Roman" w:hAnsi="Times New Roman" w:cs="Times New Roman"/>
          <w:sz w:val="30"/>
          <w:szCs w:val="30"/>
        </w:rPr>
        <w:softHyphen/>
        <w:t>sidered carefully. In the majority of the installations observed</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by</w:t>
      </w:r>
      <w:proofErr w:type="gramEnd"/>
      <w:r w:rsidRPr="00233D2C">
        <w:rPr>
          <w:rFonts w:ascii="Times New Roman" w:hAnsi="Times New Roman" w:cs="Times New Roman"/>
          <w:sz w:val="30"/>
          <w:szCs w:val="30"/>
        </w:rPr>
        <w:t xml:space="preserve"> the writers little or no consideration was given to the relative positions of the ponds with respect to the general drainage of the property. Apparently the only thought was to place the tank bat</w:t>
      </w:r>
      <w:r w:rsidRPr="00233D2C">
        <w:rPr>
          <w:rFonts w:ascii="Times New Roman" w:hAnsi="Times New Roman" w:cs="Times New Roman"/>
          <w:sz w:val="30"/>
          <w:szCs w:val="30"/>
        </w:rPr>
        <w:softHyphen/>
        <w:t>tery so that the production from the wells would flow by gravity to the tanks and separators, and likewise that the brine and other wastes would flow by gravity from the tanks to the ponds, with some consideration given to fire hazard. Consequently, the brine ponds often received the entire surface run-off of the producing property, as well as the brine and other wastes from the tank battery.</w:t>
      </w:r>
    </w:p>
    <w:p w:rsidR="00A115FA" w:rsidRPr="00233D2C" w:rsidRDefault="008872CD" w:rsidP="00A115FA">
      <w:pPr>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lastRenderedPageBreak/>
        <w:drawing>
          <wp:inline distT="0" distB="0" distL="0" distR="0">
            <wp:extent cx="4612640" cy="2538730"/>
            <wp:effectExtent l="0" t="0" r="0" b="0"/>
            <wp:docPr id="5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2640" cy="2538730"/>
                    </a:xfrm>
                    <a:prstGeom prst="rect">
                      <a:avLst/>
                    </a:prstGeom>
                    <a:noFill/>
                    <a:ln>
                      <a:noFill/>
                    </a:ln>
                  </pic:spPr>
                </pic:pic>
              </a:graphicData>
            </a:graphic>
          </wp:inline>
        </w:drawing>
      </w:r>
    </w:p>
    <w:p w:rsidR="00A115FA" w:rsidRPr="00233D2C" w:rsidRDefault="008872CD" w:rsidP="00A115FA">
      <w:pPr>
        <w:ind w:firstLine="724"/>
        <w:jc w:val="center"/>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439160" cy="2320290"/>
            <wp:effectExtent l="0" t="0" r="8890" b="3810"/>
            <wp:docPr id="5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39160" cy="232029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8.—Portable weed burner for cleaning up waste oil on the lease.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Although gravity or natural flow is of major importance in locating tank-battery and brine-pond sites, additional study of</w:t>
      </w:r>
      <w:r w:rsidRPr="00233D2C">
        <w:rPr>
          <w:rFonts w:ascii="Times New Roman" w:hAnsi="Times New Roman" w:cs="Times New Roman"/>
          <w:sz w:val="30"/>
          <w:szCs w:val="30"/>
        </w:rPr>
        <w:softHyphen/>
        <w:t>ten will provide sites for brine and burning pits where large quantities of surface run-off will not collect, and usually such sur</w:t>
      </w:r>
      <w:r w:rsidRPr="00233D2C">
        <w:rPr>
          <w:rFonts w:ascii="Times New Roman" w:hAnsi="Times New Roman" w:cs="Times New Roman"/>
          <w:sz w:val="30"/>
          <w:szCs w:val="30"/>
        </w:rPr>
        <w:softHyphen/>
        <w:t>face drainage can be diverted by proper dikes or ditches.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As mentioned previously, petroleum wastes (especially if water-logged) often are quite difficult to ignite, and some opera</w:t>
      </w:r>
      <w:r w:rsidRPr="00233D2C">
        <w:rPr>
          <w:rFonts w:ascii="Times New Roman" w:hAnsi="Times New Roman" w:cs="Times New Roman"/>
          <w:sz w:val="30"/>
          <w:szCs w:val="30"/>
        </w:rPr>
        <w:softHyphen/>
        <w:t>tors have found hand blow-torches quite effective for this pur</w:t>
      </w:r>
      <w:r w:rsidRPr="00233D2C">
        <w:rPr>
          <w:rFonts w:ascii="Times New Roman" w:hAnsi="Times New Roman" w:cs="Times New Roman"/>
          <w:sz w:val="30"/>
          <w:szCs w:val="30"/>
        </w:rPr>
        <w:softHyphen/>
        <w:t>pose. Figure 8 shows a portable weed burner used by engineers of the Kansas State Board of Health that has proved very effec</w:t>
      </w:r>
      <w:r w:rsidRPr="00233D2C">
        <w:rPr>
          <w:rFonts w:ascii="Times New Roman" w:hAnsi="Times New Roman" w:cs="Times New Roman"/>
          <w:sz w:val="30"/>
          <w:szCs w:val="30"/>
        </w:rPr>
        <w:softHyphen/>
        <w:t>tive in cleaning up "oil spills" and burring old "water-logged" emulsions.</w:t>
      </w:r>
    </w:p>
    <w:p w:rsidR="00A115FA" w:rsidRPr="00233D2C" w:rsidRDefault="00A115FA" w:rsidP="00A115FA">
      <w:pPr>
        <w:ind w:firstLine="724"/>
        <w:jc w:val="both"/>
        <w:rPr>
          <w:rFonts w:ascii="Times New Roman" w:hAnsi="Times New Roman" w:cs="Times New Roman"/>
          <w:b/>
          <w:bCs/>
          <w:sz w:val="30"/>
          <w:szCs w:val="30"/>
          <w:lang w:val="kk-KZ"/>
        </w:rPr>
      </w:pPr>
    </w:p>
    <w:p w:rsidR="00A115FA" w:rsidRPr="00233D2C" w:rsidRDefault="00A115FA" w:rsidP="00A115FA">
      <w:pPr>
        <w:ind w:firstLine="724"/>
        <w:jc w:val="both"/>
        <w:rPr>
          <w:rFonts w:ascii="Times New Roman" w:hAnsi="Times New Roman" w:cs="Times New Roman"/>
          <w:b/>
          <w:bCs/>
          <w:sz w:val="30"/>
          <w:szCs w:val="30"/>
        </w:rPr>
      </w:pPr>
      <w:r w:rsidRPr="00233D2C">
        <w:rPr>
          <w:rFonts w:ascii="Times New Roman" w:hAnsi="Times New Roman" w:cs="Times New Roman"/>
          <w:b/>
          <w:bCs/>
          <w:sz w:val="30"/>
          <w:szCs w:val="30"/>
        </w:rPr>
        <w:t>3.3 Emulsions</w:t>
      </w:r>
    </w:p>
    <w:p w:rsidR="00A115FA" w:rsidRPr="00233D2C" w:rsidRDefault="00A115FA" w:rsidP="00A115FA">
      <w:pPr>
        <w:ind w:firstLine="724"/>
        <w:jc w:val="both"/>
        <w:rPr>
          <w:rFonts w:ascii="Times New Roman" w:hAnsi="Times New Roman" w:cs="Times New Roman"/>
          <w:b/>
          <w:bCs/>
          <w:sz w:val="30"/>
          <w:szCs w:val="30"/>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It is evident from the foregoing discussion that crude-oil emul</w:t>
      </w:r>
      <w:r w:rsidRPr="00233D2C">
        <w:rPr>
          <w:rFonts w:ascii="Times New Roman" w:hAnsi="Times New Roman" w:cs="Times New Roman"/>
          <w:sz w:val="30"/>
          <w:szCs w:val="30"/>
        </w:rPr>
        <w:softHyphen/>
        <w:t xml:space="preserve">sions present one of the major difficulties tending to disrupt all concerted efforts directed toward good lease-housekeeping. The problem of minimizing the formation of emulsions and treating those that are formed is one of the most difficult in oil production. No attempt will be made to discuss the problem in </w:t>
      </w:r>
      <w:r w:rsidRPr="00233D2C">
        <w:rPr>
          <w:rFonts w:ascii="Times New Roman" w:hAnsi="Times New Roman" w:cs="Times New Roman"/>
          <w:sz w:val="30"/>
          <w:szCs w:val="30"/>
        </w:rPr>
        <w:lastRenderedPageBreak/>
        <w:t>detail in this</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report, as a bulletin covering the prevention and treatment of oil-field emulsions is in</w:t>
      </w:r>
      <w:r w:rsidRPr="00233D2C">
        <w:rPr>
          <w:rFonts w:ascii="Times New Roman" w:hAnsi="Times New Roman" w:cs="Times New Roman"/>
          <w:sz w:val="30"/>
          <w:szCs w:val="30"/>
        </w:rPr>
        <w:tab/>
      </w:r>
      <w:proofErr w:type="gramStart"/>
      <w:r w:rsidRPr="00233D2C">
        <w:rPr>
          <w:rFonts w:ascii="Times New Roman" w:hAnsi="Times New Roman" w:cs="Times New Roman"/>
          <w:sz w:val="30"/>
          <w:szCs w:val="30"/>
        </w:rPr>
        <w:t>The</w:t>
      </w:r>
      <w:proofErr w:type="gramEnd"/>
      <w:r w:rsidRPr="00233D2C">
        <w:rPr>
          <w:rFonts w:ascii="Times New Roman" w:hAnsi="Times New Roman" w:cs="Times New Roman"/>
          <w:sz w:val="30"/>
          <w:szCs w:val="30"/>
        </w:rPr>
        <w:tab/>
        <w:t>following</w:t>
      </w:r>
      <w:r w:rsidRPr="00233D2C">
        <w:rPr>
          <w:rFonts w:ascii="Times New Roman" w:hAnsi="Times New Roman" w:cs="Times New Roman"/>
          <w:sz w:val="30"/>
          <w:szCs w:val="30"/>
        </w:rPr>
        <w:tab/>
        <w:t>short</w:t>
      </w:r>
      <w:r w:rsidRPr="00233D2C">
        <w:rPr>
          <w:rFonts w:ascii="Times New Roman" w:hAnsi="Times New Roman" w:cs="Times New Roman"/>
          <w:sz w:val="30"/>
          <w:szCs w:val="30"/>
        </w:rPr>
        <w:tab/>
        <w:t>dis</w:t>
      </w:r>
      <w:r w:rsidRPr="00233D2C">
        <w:rPr>
          <w:rFonts w:ascii="Times New Roman" w:hAnsi="Times New Roman" w:cs="Times New Roman"/>
          <w:sz w:val="30"/>
          <w:szCs w:val="30"/>
        </w:rPr>
        <w:softHyphen/>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cussion, however, may be of interest.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 crude-oil emulsion may be defined as a heterogeneous mix</w:t>
      </w:r>
      <w:r w:rsidRPr="00233D2C">
        <w:rPr>
          <w:rFonts w:ascii="Times New Roman" w:hAnsi="Times New Roman" w:cs="Times New Roman"/>
          <w:sz w:val="30"/>
          <w:szCs w:val="30"/>
        </w:rPr>
        <w:softHyphen/>
        <w:t>ture of oil and water, in which one of the liquids forms minute droplets suspended in the other liquid. Since crude-oil emulsions generally are water-in-oil emulsions, the water is in the form of minute droplets suspended in the oil.</w:t>
      </w:r>
    </w:p>
    <w:p w:rsidR="00A115FA" w:rsidRPr="00233D2C" w:rsidRDefault="00A115FA" w:rsidP="00A115FA">
      <w:pPr>
        <w:tabs>
          <w:tab w:val="left" w:pos="4942"/>
        </w:tabs>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Crude-oil emulsions are formed by the agitation of water and oil in contact with each other. As shown by</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 xml:space="preserve">an </w:t>
      </w:r>
      <w:proofErr w:type="gramStart"/>
      <w:r w:rsidRPr="00233D2C">
        <w:rPr>
          <w:rFonts w:ascii="Times New Roman" w:hAnsi="Times New Roman" w:cs="Times New Roman"/>
          <w:sz w:val="30"/>
          <w:szCs w:val="30"/>
        </w:rPr>
        <w:t>emulsion</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may</w:t>
      </w:r>
      <w:proofErr w:type="gramEnd"/>
      <w:r w:rsidRPr="00233D2C">
        <w:rPr>
          <w:rFonts w:ascii="Times New Roman" w:hAnsi="Times New Roman" w:cs="Times New Roman"/>
          <w:sz w:val="30"/>
          <w:szCs w:val="30"/>
        </w:rPr>
        <w:t xml:space="preserve"> be formed in the well hole on the face of the sand at the point where the water and oil enter the well or back in the forma</w:t>
      </w:r>
      <w:r w:rsidRPr="00233D2C">
        <w:rPr>
          <w:rFonts w:ascii="Times New Roman" w:hAnsi="Times New Roman" w:cs="Times New Roman"/>
          <w:sz w:val="30"/>
          <w:szCs w:val="30"/>
        </w:rPr>
        <w:softHyphen/>
        <w:t>tion where the mixture is entering the well through cracks or crevices, but generally it is formed at some later stage, either in the well, in the tubing, or in the flow lines on the surface of the ground. The formation of an emulsion is increased greatly by un</w:t>
      </w:r>
      <w:r w:rsidRPr="00233D2C">
        <w:rPr>
          <w:rFonts w:ascii="Times New Roman" w:hAnsi="Times New Roman" w:cs="Times New Roman"/>
          <w:sz w:val="30"/>
          <w:szCs w:val="30"/>
        </w:rPr>
        <w:softHyphen/>
        <w:t xml:space="preserve">necessary agitation of the fluid in the well. Worn or mechanically imperfect pumping equipment reproduces a condition similar to the pumping of the water and oil mixture through a small orifice under high pressure. Forcing the mixture through the orifice by high pressure will produce fine emulsion particles, which usually are the most difficult to </w:t>
      </w:r>
      <w:proofErr w:type="gramStart"/>
      <w:r w:rsidRPr="00233D2C">
        <w:rPr>
          <w:rFonts w:ascii="Times New Roman" w:hAnsi="Times New Roman" w:cs="Times New Roman"/>
          <w:sz w:val="30"/>
          <w:szCs w:val="30"/>
        </w:rPr>
        <w:t>break :</w:t>
      </w:r>
      <w:proofErr w:type="gramEnd"/>
      <w:r w:rsidRPr="00233D2C">
        <w:rPr>
          <w:rFonts w:ascii="Times New Roman" w:hAnsi="Times New Roman" w:cs="Times New Roman"/>
          <w:sz w:val="30"/>
          <w:szCs w:val="30"/>
        </w:rPr>
        <w:t>.</w:t>
      </w:r>
    </w:p>
    <w:p w:rsidR="00A115FA" w:rsidRPr="00233D2C" w:rsidRDefault="00A115FA" w:rsidP="00A115FA">
      <w:pPr>
        <w:tabs>
          <w:tab w:val="left" w:pos="0"/>
        </w:tabs>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close association of the oil and brine in the formation and in the process of production results in the formation of an emul</w:t>
      </w:r>
      <w:r w:rsidRPr="00233D2C">
        <w:rPr>
          <w:rFonts w:ascii="Times New Roman" w:hAnsi="Times New Roman" w:cs="Times New Roman"/>
          <w:sz w:val="30"/>
          <w:szCs w:val="30"/>
        </w:rPr>
        <w:softHyphen/>
        <w:t>sion that may or may not be difficult to break</w:t>
      </w:r>
      <w:r w:rsidRPr="00233D2C">
        <w:rPr>
          <w:rFonts w:ascii="Times New Roman" w:hAnsi="Times New Roman" w:cs="Times New Roman"/>
          <w:sz w:val="30"/>
          <w:szCs w:val="30"/>
        </w:rPr>
        <w:tab/>
      </w:r>
      <w:proofErr w:type="gramStart"/>
      <w:r w:rsidRPr="00233D2C">
        <w:rPr>
          <w:rFonts w:ascii="Times New Roman" w:hAnsi="Times New Roman" w:cs="Times New Roman"/>
          <w:sz w:val="30"/>
          <w:szCs w:val="30"/>
        </w:rPr>
        <w:t>There</w:t>
      </w:r>
      <w:proofErr w:type="gramEnd"/>
      <w:r w:rsidRPr="00233D2C">
        <w:rPr>
          <w:rFonts w:ascii="Times New Roman" w:hAnsi="Times New Roman" w:cs="Times New Roman"/>
          <w:sz w:val="30"/>
          <w:szCs w:val="30"/>
        </w:rPr>
        <w:t xml:space="preserve"> are</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many methods for treating emulsions. The following are the most commonly used in Kansas: (1) chemical treatment, (2) applica</w:t>
      </w:r>
      <w:r w:rsidRPr="00233D2C">
        <w:rPr>
          <w:rFonts w:ascii="Times New Roman" w:hAnsi="Times New Roman" w:cs="Times New Roman"/>
          <w:sz w:val="30"/>
          <w:szCs w:val="30"/>
        </w:rPr>
        <w:softHyphen/>
        <w:t>tion of heat, (3) some combinations of chemical treatment and application of heat. In some areas "hay tanks" or electric dehy- drators are very efficient in assisting in the breaking down of emulsions, but these processes are not widely used in Kansas.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oil-water mixture produced from the Mississippi limestone formation in Kansas generally is more difficult to treat than that produced from other limestone formations in the State. Opera</w:t>
      </w:r>
      <w:r w:rsidRPr="00233D2C">
        <w:rPr>
          <w:rFonts w:ascii="Times New Roman" w:hAnsi="Times New Roman" w:cs="Times New Roman"/>
          <w:sz w:val="30"/>
          <w:szCs w:val="30"/>
        </w:rPr>
        <w:softHyphen/>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tors have found that in general the water can be separated from the oil produced from other limestone formations without the ap</w:t>
      </w:r>
      <w:r w:rsidRPr="00233D2C">
        <w:rPr>
          <w:rFonts w:ascii="Times New Roman" w:hAnsi="Times New Roman" w:cs="Times New Roman"/>
          <w:sz w:val="30"/>
          <w:szCs w:val="30"/>
        </w:rPr>
        <w:softHyphen/>
        <w:t>plication of heat, but that the fluid produced from the Mississippi limestone requires heating in addition to chemicals. Oil pro</w:t>
      </w:r>
      <w:r w:rsidRPr="00233D2C">
        <w:rPr>
          <w:rFonts w:ascii="Times New Roman" w:hAnsi="Times New Roman" w:cs="Times New Roman"/>
          <w:sz w:val="30"/>
          <w:szCs w:val="30"/>
        </w:rPr>
        <w:softHyphen/>
        <w:t>duced from limestone formations often reaches the surface at temperatures ranging from 'hh to 125° F. For successful sepa</w:t>
      </w:r>
      <w:r w:rsidRPr="00233D2C">
        <w:rPr>
          <w:rFonts w:ascii="Times New Roman" w:hAnsi="Times New Roman" w:cs="Times New Roman"/>
          <w:sz w:val="30"/>
          <w:szCs w:val="30"/>
        </w:rPr>
        <w:softHyphen/>
        <w:t xml:space="preserve">ration of the water from the oil, the temperature often is raised to as high </w:t>
      </w:r>
      <w:proofErr w:type="gramStart"/>
      <w:r w:rsidRPr="00233D2C">
        <w:rPr>
          <w:rFonts w:ascii="Times New Roman" w:hAnsi="Times New Roman" w:cs="Times New Roman"/>
          <w:sz w:val="30"/>
          <w:szCs w:val="30"/>
        </w:rPr>
        <w:t>as ,</w:t>
      </w:r>
      <w:proofErr w:type="gramEnd"/>
      <w:r w:rsidRPr="00233D2C">
        <w:rPr>
          <w:rFonts w:ascii="Times New Roman" w:hAnsi="Times New Roman" w:cs="Times New Roman"/>
          <w:sz w:val="30"/>
          <w:szCs w:val="30"/>
        </w:rPr>
        <w:t xml:space="preserve"> F.</w:t>
      </w:r>
    </w:p>
    <w:p w:rsidR="00A115FA" w:rsidRPr="00233D2C" w:rsidRDefault="00A115FA" w:rsidP="00A115FA">
      <w:pPr>
        <w:ind w:firstLine="724"/>
        <w:jc w:val="both"/>
        <w:rPr>
          <w:rFonts w:ascii="Times New Roman" w:hAnsi="Times New Roman" w:cs="Times New Roman"/>
          <w:b/>
          <w:bCs/>
          <w:color w:val="auto"/>
          <w:sz w:val="30"/>
          <w:szCs w:val="30"/>
          <w:lang w:eastAsia="ru-RU"/>
        </w:rPr>
      </w:pPr>
      <w:r w:rsidRPr="00233D2C">
        <w:rPr>
          <w:rFonts w:ascii="Times New Roman" w:hAnsi="Times New Roman" w:cs="Times New Roman"/>
          <w:b/>
          <w:bCs/>
          <w:sz w:val="30"/>
          <w:szCs w:val="30"/>
        </w:rPr>
        <w:t>Minimizing the Formation of Emulsions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first step in the treatment of emulsions is to keep their formation at a minimum. Since the agitation of the water and oil causes the particles of water to break down into droplets small enough to become colloidal, production methods should be such that agitation is at a minimum.</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Dow </w:t>
      </w:r>
      <w:r w:rsidRPr="00233D2C">
        <w:rPr>
          <w:rFonts w:ascii="Times New Roman" w:hAnsi="Times New Roman" w:cs="Times New Roman"/>
          <w:sz w:val="30"/>
          <w:szCs w:val="30"/>
          <w:vertAlign w:val="superscript"/>
        </w:rPr>
        <w:t>21</w:t>
      </w:r>
      <w:r w:rsidRPr="00233D2C">
        <w:rPr>
          <w:rFonts w:ascii="Times New Roman" w:hAnsi="Times New Roman" w:cs="Times New Roman"/>
          <w:sz w:val="30"/>
          <w:szCs w:val="30"/>
        </w:rPr>
        <w:t xml:space="preserve"> recommends the following procedure for limiting the formation </w:t>
      </w:r>
      <w:r w:rsidRPr="00233D2C">
        <w:rPr>
          <w:rFonts w:ascii="Times New Roman" w:hAnsi="Times New Roman" w:cs="Times New Roman"/>
          <w:sz w:val="30"/>
          <w:szCs w:val="30"/>
        </w:rPr>
        <w:lastRenderedPageBreak/>
        <w:t>of emulsions:</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2743200" cy="2388235"/>
            <wp:effectExtent l="0" t="0" r="0" b="0"/>
            <wp:docPr id="4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388235"/>
                    </a:xfrm>
                    <a:prstGeom prst="rect">
                      <a:avLst/>
                    </a:prstGeom>
                    <a:noFill/>
                    <a:ln>
                      <a:noFill/>
                    </a:ln>
                  </pic:spPr>
                </pic:pic>
              </a:graphicData>
            </a:graphic>
          </wp:inline>
        </w:drawing>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2797810" cy="3248025"/>
            <wp:effectExtent l="0" t="0" r="2540" b="9525"/>
            <wp:docPr id="4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7810" cy="324802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1. Flowing wells.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Separation of the oil, water, and gas under pressure by 1 he use of pressure separators. Complete expansion of the gas is prevented by carrying a back pressure on the separator, and as a result the amount of agitation is decreased.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2. Air- and gas-lift wells.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Limit agitation by not allowing slugs of gas or air to flow</w:t>
      </w:r>
    </w:p>
    <w:p w:rsidR="00A115FA" w:rsidRPr="00233D2C" w:rsidRDefault="00A115FA" w:rsidP="00A115FA">
      <w:pPr>
        <w:tabs>
          <w:tab w:val="left" w:pos="881"/>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through</w:t>
      </w:r>
      <w:proofErr w:type="gramEnd"/>
      <w:r w:rsidRPr="00233D2C">
        <w:rPr>
          <w:rFonts w:ascii="Times New Roman" w:hAnsi="Times New Roman" w:cs="Times New Roman"/>
          <w:sz w:val="30"/>
          <w:szCs w:val="30"/>
        </w:rPr>
        <w:t xml:space="preserve"> after the fluid in the well has reached the bottom of :</w:t>
      </w:r>
      <w:r w:rsidRPr="00233D2C">
        <w:rPr>
          <w:rFonts w:ascii="Times New Roman" w:hAnsi="Times New Roman" w:cs="Times New Roman"/>
          <w:sz w:val="30"/>
          <w:szCs w:val="30"/>
        </w:rPr>
        <w:tab/>
        <w:t>producing string. It was found that cutting of the oil</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took</w:t>
      </w:r>
      <w:proofErr w:type="gramEnd"/>
      <w:r w:rsidRPr="00233D2C">
        <w:rPr>
          <w:rFonts w:ascii="Times New Roman" w:hAnsi="Times New Roman" w:cs="Times New Roman"/>
          <w:sz w:val="30"/>
          <w:szCs w:val="30"/>
        </w:rPr>
        <w:t xml:space="preserve"> place when the well was emptied and a violent flow of air passed through the tubing. Where the air- or gas-lift is operated so that alternate slugs of oil and gas or air are raised through the tubing the i. is increasingly turbu</w:t>
      </w:r>
      <w:r w:rsidRPr="00233D2C">
        <w:rPr>
          <w:rFonts w:ascii="Times New Roman" w:hAnsi="Times New Roman" w:cs="Times New Roman"/>
          <w:sz w:val="30"/>
          <w:szCs w:val="30"/>
        </w:rPr>
        <w:softHyphen/>
        <w:t>lent.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3. Pumping wells.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Replace worn or leaking cups, barrels, plungers, or valves in the </w:t>
      </w:r>
      <w:r w:rsidRPr="00233D2C">
        <w:rPr>
          <w:rFonts w:ascii="Times New Roman" w:hAnsi="Times New Roman" w:cs="Times New Roman"/>
          <w:sz w:val="30"/>
          <w:szCs w:val="30"/>
        </w:rPr>
        <w:lastRenderedPageBreak/>
        <w:t>working barrels. Discontinue pumping when the oil in the hole is not sufficient to fill the working barrel, or, "when the well pounds." Reduce "whipping" of the pump-</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ing</w:t>
      </w:r>
      <w:proofErr w:type="gramEnd"/>
      <w:r w:rsidRPr="00233D2C">
        <w:rPr>
          <w:rFonts w:ascii="Times New Roman" w:hAnsi="Times New Roman" w:cs="Times New Roman"/>
          <w:sz w:val="30"/>
          <w:szCs w:val="30"/>
        </w:rPr>
        <w:t xml:space="preserve"> rods within the tubing by means of a counterbalance on the equipment above ground.</w:t>
      </w:r>
    </w:p>
    <w:p w:rsidR="00A115FA" w:rsidRPr="00233D2C" w:rsidRDefault="00A115FA" w:rsidP="00A115FA">
      <w:pPr>
        <w:tabs>
          <w:tab w:val="left" w:pos="590"/>
        </w:tabs>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4.</w:t>
      </w:r>
      <w:r w:rsidRPr="00233D2C">
        <w:rPr>
          <w:rFonts w:ascii="Times New Roman" w:hAnsi="Times New Roman" w:cs="Times New Roman"/>
          <w:sz w:val="30"/>
          <w:szCs w:val="30"/>
        </w:rPr>
        <w:tab/>
        <w:t>Lead lines.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Eliminate sharp turns or constrictions that cause accumu</w:t>
      </w:r>
      <w:r w:rsidRPr="00233D2C">
        <w:rPr>
          <w:rFonts w:ascii="Times New Roman" w:hAnsi="Times New Roman" w:cs="Times New Roman"/>
          <w:sz w:val="30"/>
          <w:szCs w:val="30"/>
        </w:rPr>
        <w:softHyphen/>
        <w:t>lations of scale or partly closed valves from lead lines. Lead lines should be as short as possible and laid on a uni</w:t>
      </w:r>
      <w:r w:rsidRPr="00233D2C">
        <w:rPr>
          <w:rFonts w:ascii="Times New Roman" w:hAnsi="Times New Roman" w:cs="Times New Roman"/>
          <w:sz w:val="30"/>
          <w:szCs w:val="30"/>
        </w:rPr>
        <w:softHyphen/>
        <w:t>form grade; low spots, where water may accumulate and mix, should be eliminated.</w:t>
      </w:r>
    </w:p>
    <w:p w:rsidR="00A115FA" w:rsidRPr="00233D2C" w:rsidRDefault="00A115FA" w:rsidP="00A115FA">
      <w:pPr>
        <w:ind w:firstLine="724"/>
        <w:jc w:val="both"/>
        <w:rPr>
          <w:rFonts w:ascii="Times New Roman" w:hAnsi="Times New Roman" w:cs="Times New Roman"/>
          <w:bCs/>
          <w:color w:val="auto"/>
          <w:sz w:val="30"/>
          <w:szCs w:val="30"/>
          <w:lang w:eastAsia="ru-RU"/>
        </w:rPr>
      </w:pPr>
      <w:r w:rsidRPr="00233D2C">
        <w:rPr>
          <w:rFonts w:ascii="Times New Roman" w:hAnsi="Times New Roman" w:cs="Times New Roman"/>
          <w:bCs/>
          <w:sz w:val="30"/>
          <w:szCs w:val="30"/>
        </w:rPr>
        <w:t>TREATMENT OF ENUIKUMS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As mentioned previously, the most generally used methods of treatment of emulsions in Kansas include heat treatment or the injection of chemicals, and often both. Where treatment is neces</w:t>
      </w:r>
      <w:r w:rsidRPr="00233D2C">
        <w:rPr>
          <w:rFonts w:ascii="Times New Roman" w:hAnsi="Times New Roman" w:cs="Times New Roman"/>
          <w:sz w:val="30"/>
          <w:szCs w:val="30"/>
        </w:rPr>
        <w:softHyphen/>
        <w:t>sary to produce pipe-line oil, the chemical is injected either into the bottom of the well or lubricated into the flowline at the well</w:t>
      </w:r>
      <w:r w:rsidRPr="00233D2C">
        <w:rPr>
          <w:rFonts w:ascii="Times New Roman" w:hAnsi="Times New Roman" w:cs="Times New Roman"/>
          <w:sz w:val="30"/>
          <w:szCs w:val="30"/>
        </w:rPr>
        <w:softHyphen/>
        <w:t>head. If the emulsion is difficult to break down, some type of heater is used in conjunction with the chemical.</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An emulsion-treating unit is shown in figure 9. This unit is in the Burrton field, Kansas, and is used for breaking the emul</w:t>
      </w:r>
      <w:r w:rsidRPr="00233D2C">
        <w:rPr>
          <w:rFonts w:ascii="Times New Roman" w:hAnsi="Times New Roman" w:cs="Times New Roman"/>
          <w:sz w:val="30"/>
          <w:szCs w:val="30"/>
        </w:rPr>
        <w:softHyphen/>
        <w:t>sion formed in producing oil from the Mississippi limestone hori</w:t>
      </w:r>
      <w:r w:rsidRPr="00233D2C">
        <w:rPr>
          <w:rFonts w:ascii="Times New Roman" w:hAnsi="Times New Roman" w:cs="Times New Roman"/>
          <w:sz w:val="30"/>
          <w:szCs w:val="30"/>
        </w:rPr>
        <w:softHyphen/>
        <w:t>zon. Chemical is lubricated into the lead line at the wellhead. The oil flowing from the gas separator is circulated through the boiler, where it is heated and from there it goes to the flow-tank, where the brine settles out and is drawn off by a siphon while the oil flows to the stock tanks. Tank bottoms and oil that has not been dehydrated sufficiently are recirculated through the heating unit. In this treating unit the heat is applied directly to the oil- water mixture.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Other types of emulsion-treating units apply heat indirectly to the oil-water mixture by means of steam coils placed either</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immediately</w:t>
      </w:r>
      <w:proofErr w:type="gramEnd"/>
      <w:r w:rsidRPr="00233D2C">
        <w:rPr>
          <w:rFonts w:ascii="Times New Roman" w:hAnsi="Times New Roman" w:cs="Times New Roman"/>
          <w:sz w:val="30"/>
          <w:szCs w:val="30"/>
        </w:rPr>
        <w:t xml:space="preserve"> above or below the oil and water contact in the flow tanks. The chemical usually is lubricated into the lead line at the wellhead.</w:t>
      </w:r>
    </w:p>
    <w:p w:rsidR="00A115FA" w:rsidRPr="00233D2C" w:rsidRDefault="00A115FA" w:rsidP="00A115FA">
      <w:pPr>
        <w:tabs>
          <w:tab w:val="left" w:pos="2766"/>
        </w:tabs>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oil fields where only small quantities of emulsions are formed, operators have found that portable heaters can be used to advantage. The emulsion is collected in one tank, and when the quantity is large</w:t>
      </w:r>
      <w:r w:rsidRPr="00233D2C">
        <w:rPr>
          <w:rFonts w:ascii="Times New Roman" w:hAnsi="Times New Roman" w:cs="Times New Roman"/>
          <w:sz w:val="30"/>
          <w:szCs w:val="30"/>
        </w:rPr>
        <w:tab/>
        <w:t>the portable heater is brought in.</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lastRenderedPageBreak/>
        <w:drawing>
          <wp:inline distT="0" distB="0" distL="0" distR="0">
            <wp:extent cx="3821430" cy="2538730"/>
            <wp:effectExtent l="0" t="0" r="7620" b="0"/>
            <wp:docPr id="4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21430" cy="253873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Type A</w:t>
      </w: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752850" cy="2333625"/>
            <wp:effectExtent l="0" t="0" r="0" b="9525"/>
            <wp:docPr id="4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2333625"/>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Type B</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10 shows two portable units in use in Kansas. In the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10.—Types of portable emulsion-treating units.</w:t>
      </w:r>
      <w:r w:rsidRPr="00233D2C">
        <w:rPr>
          <w:rFonts w:ascii="Times New Roman" w:hAnsi="Times New Roman" w:cs="Times New Roman"/>
          <w:sz w:val="30"/>
          <w:szCs w:val="30"/>
          <w:lang w:val="kk-KZ"/>
        </w:rPr>
        <w:t xml:space="preserve"> </w:t>
      </w:r>
      <w:proofErr w:type="gramStart"/>
      <w:r w:rsidRPr="00233D2C">
        <w:rPr>
          <w:rFonts w:ascii="Times New Roman" w:hAnsi="Times New Roman" w:cs="Times New Roman"/>
          <w:sz w:val="30"/>
          <w:szCs w:val="30"/>
        </w:rPr>
        <w:t>operation</w:t>
      </w:r>
      <w:proofErr w:type="gramEnd"/>
      <w:r w:rsidRPr="00233D2C">
        <w:rPr>
          <w:rFonts w:ascii="Times New Roman" w:hAnsi="Times New Roman" w:cs="Times New Roman"/>
          <w:sz w:val="30"/>
          <w:szCs w:val="30"/>
        </w:rPr>
        <w:t xml:space="preserve"> of the type A unit shown in figure 10, the heat is sup</w:t>
      </w:r>
      <w:r w:rsidRPr="00233D2C">
        <w:rPr>
          <w:rFonts w:ascii="Times New Roman" w:hAnsi="Times New Roman" w:cs="Times New Roman"/>
          <w:sz w:val="30"/>
          <w:szCs w:val="30"/>
        </w:rPr>
        <w:softHyphen/>
        <w:t>plied by burning vaporized fuel oil sprayed into the fire-box at</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the rear of the unit. The heat passes from the firebox through</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4-inch flues to the stack.</w:t>
      </w:r>
      <w:proofErr w:type="gramEnd"/>
      <w:r w:rsidRPr="00233D2C">
        <w:rPr>
          <w:rFonts w:ascii="Times New Roman" w:hAnsi="Times New Roman" w:cs="Times New Roman"/>
          <w:sz w:val="30"/>
          <w:szCs w:val="30"/>
        </w:rPr>
        <w:t xml:space="preserve"> The fuel oil is vaporized by a centrifu</w:t>
      </w:r>
      <w:r w:rsidRPr="00233D2C">
        <w:rPr>
          <w:rFonts w:ascii="Times New Roman" w:hAnsi="Times New Roman" w:cs="Times New Roman"/>
          <w:sz w:val="30"/>
          <w:szCs w:val="30"/>
        </w:rPr>
        <w:softHyphen/>
        <w:t>gal blower driven by the engine, which also drives the pump for circulating the tank bottoms through the unit. The tank bottoms enter the jacketed firebox at the rear, into the section containing the firetubes, and leave the unit at the front header on top of the shell. The temperature to which the emulsion is heated is regu</w:t>
      </w:r>
      <w:r w:rsidRPr="00233D2C">
        <w:rPr>
          <w:rFonts w:ascii="Times New Roman" w:hAnsi="Times New Roman" w:cs="Times New Roman"/>
          <w:sz w:val="30"/>
          <w:szCs w:val="30"/>
        </w:rPr>
        <w:softHyphen/>
        <w:t>lated manually by adjustment of the fuel to the burner. Chemi</w:t>
      </w:r>
      <w:r w:rsidRPr="00233D2C">
        <w:rPr>
          <w:rFonts w:ascii="Times New Roman" w:hAnsi="Times New Roman" w:cs="Times New Roman"/>
          <w:sz w:val="30"/>
          <w:szCs w:val="30"/>
        </w:rPr>
        <w:softHyphen/>
        <w:t>cals are added to the emulsion in the tank before it is pumped through the heating unit.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the operation of the type B unit shown in figure 10, the emulsion pumped to and from the boiler through flexible hose and the chemical is lubricated directly into the boiler. The fuel oil for the burner is vaporized by compressed air from two stor</w:t>
      </w:r>
      <w:r w:rsidRPr="00233D2C">
        <w:rPr>
          <w:rFonts w:ascii="Times New Roman" w:hAnsi="Times New Roman" w:cs="Times New Roman"/>
          <w:sz w:val="30"/>
          <w:szCs w:val="30"/>
        </w:rPr>
        <w:softHyphen/>
        <w:t xml:space="preserve">age tanks mounted immediately below the shell </w:t>
      </w:r>
      <w:r w:rsidRPr="00233D2C">
        <w:rPr>
          <w:rFonts w:ascii="Times New Roman" w:hAnsi="Times New Roman" w:cs="Times New Roman"/>
          <w:sz w:val="30"/>
          <w:szCs w:val="30"/>
        </w:rPr>
        <w:lastRenderedPageBreak/>
        <w:t>of the boiler. Pressure is maintained in the air-storage tanks by a compressor driven by the engine, which also drives the pump for circulating the emulsions.</w:t>
      </w:r>
    </w:p>
    <w:p w:rsidR="00A115FA" w:rsidRPr="00233D2C" w:rsidRDefault="00A115FA" w:rsidP="00A115FA">
      <w:pPr>
        <w:ind w:firstLine="724"/>
        <w:jc w:val="both"/>
        <w:outlineLvl w:val="4"/>
        <w:rPr>
          <w:rFonts w:ascii="Times New Roman" w:hAnsi="Times New Roman" w:cs="Times New Roman"/>
          <w:b/>
          <w:bCs/>
          <w:sz w:val="30"/>
          <w:szCs w:val="30"/>
        </w:rPr>
      </w:pPr>
    </w:p>
    <w:p w:rsidR="00A115FA" w:rsidRPr="00233D2C" w:rsidRDefault="00A115FA" w:rsidP="00A115FA">
      <w:pPr>
        <w:ind w:firstLine="724"/>
        <w:jc w:val="both"/>
        <w:outlineLvl w:val="4"/>
        <w:rPr>
          <w:rFonts w:ascii="Times New Roman" w:hAnsi="Times New Roman" w:cs="Times New Roman"/>
          <w:b/>
          <w:bCs/>
          <w:sz w:val="30"/>
          <w:szCs w:val="30"/>
        </w:rPr>
      </w:pPr>
      <w:r w:rsidRPr="00233D2C">
        <w:rPr>
          <w:rFonts w:ascii="Times New Roman" w:hAnsi="Times New Roman" w:cs="Times New Roman"/>
          <w:b/>
          <w:bCs/>
          <w:sz w:val="30"/>
          <w:szCs w:val="30"/>
        </w:rPr>
        <w:t>3.4 Miscellaneous sources of petroleum waste</w:t>
      </w:r>
    </w:p>
    <w:p w:rsidR="00A115FA" w:rsidRPr="00233D2C" w:rsidRDefault="00A115FA" w:rsidP="00A115FA">
      <w:pPr>
        <w:ind w:firstLine="724"/>
        <w:jc w:val="both"/>
        <w:outlineLvl w:val="4"/>
        <w:rPr>
          <w:rFonts w:ascii="Times New Roman" w:hAnsi="Times New Roman" w:cs="Times New Roman"/>
          <w:color w:val="auto"/>
          <w:sz w:val="30"/>
          <w:szCs w:val="30"/>
          <w:lang w:eastAsia="ru-RU"/>
        </w:rPr>
      </w:pPr>
      <w:r w:rsidRPr="00233D2C">
        <w:rPr>
          <w:rFonts w:ascii="Times New Roman" w:hAnsi="Times New Roman" w:cs="Times New Roman"/>
          <w:sz w:val="30"/>
          <w:szCs w:val="30"/>
        </w:rPr>
        <w:t>Power plants used for pumping wells contribute considerable petroleum waste on oil-producing properties. On the older prop</w:t>
      </w:r>
      <w:r w:rsidRPr="00233D2C">
        <w:rPr>
          <w:rFonts w:ascii="Times New Roman" w:hAnsi="Times New Roman" w:cs="Times New Roman"/>
          <w:sz w:val="30"/>
          <w:szCs w:val="30"/>
        </w:rPr>
        <w:softHyphen/>
        <w:t>erties the power plants generally consist of a central band-wheel power-driven by a gas engine; on properties producing sizeable quantities of oil, wells may be equipped with individual prime movers, such as gas engines, electric motors, or steam engines. There is always a certain amount of oil waste around engines and other machinery, which, unless properly cared for and disposed of, accumulates and presents a fire hazard. There is likelihood, also, of such waste entering natural drainage courses and event</w:t>
      </w:r>
      <w:r w:rsidRPr="00233D2C">
        <w:rPr>
          <w:rFonts w:ascii="Times New Roman" w:hAnsi="Times New Roman" w:cs="Times New Roman"/>
          <w:sz w:val="30"/>
          <w:szCs w:val="30"/>
        </w:rPr>
        <w:softHyphen/>
        <w:t>ually destroying crops and ruining land for agricultural purposes.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11 shows a concrete sump designed to take care of the oil-waste products from a gas-engine power.</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Many leases are equipped with booster pumps to pump oil from stock tanks to pipelines. Such pumps often leak and cause unnecessary waste of petroleum oil. Figure 12 shows a poorly maintained booster pump that has been responsible for the de</w:t>
      </w:r>
      <w:r w:rsidRPr="00233D2C">
        <w:rPr>
          <w:rFonts w:ascii="Times New Roman" w:hAnsi="Times New Roman" w:cs="Times New Roman"/>
          <w:sz w:val="30"/>
          <w:szCs w:val="30"/>
        </w:rPr>
        <w:softHyphen/>
        <w:t>struction of vegetation over an area of more than one acre in its vicinity.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Although warehouses and pipe yards seldom are a source of petroleum waste, average salvage yards and lease junk heaps are flagrant offenders. Piles of oil-covered junk, oily rags, oil-soaked boards, discarded trucks and machinery usually are a source of oil waste that may do considerable damage unless the drainage from them is controlled. An example of damage to water fowl by oil-waste drainage from salvage dumps was reported by Lin</w:t>
      </w:r>
      <w:r w:rsidRPr="00233D2C">
        <w:rPr>
          <w:rFonts w:ascii="Times New Roman" w:hAnsi="Times New Roman" w:cs="Times New Roman"/>
          <w:sz w:val="30"/>
          <w:szCs w:val="30"/>
        </w:rPr>
        <w:softHyphen/>
        <w:t>coln.</w:t>
      </w:r>
      <w:r w:rsidRPr="00233D2C">
        <w:rPr>
          <w:rFonts w:ascii="Times New Roman" w:hAnsi="Times New Roman" w:cs="Times New Roman"/>
          <w:sz w:val="30"/>
          <w:szCs w:val="30"/>
          <w:vertAlign w:val="superscript"/>
        </w:rPr>
        <w:t>22</w:t>
      </w:r>
      <w:r w:rsidRPr="00233D2C">
        <w:rPr>
          <w:rFonts w:ascii="Times New Roman" w:hAnsi="Times New Roman" w:cs="Times New Roman"/>
          <w:sz w:val="30"/>
          <w:szCs w:val="30"/>
        </w:rPr>
        <w:t xml:space="preserve"> He cites a case where oil-waste drainage from salvage yards containing old automobiles and oil-soaked waste was so detrimental to water fowl in the new bird refuge of Roaches Run on the Potomac River near Washington, D.C., that it was neces</w:t>
      </w:r>
      <w:r w:rsidRPr="00233D2C">
        <w:rPr>
          <w:rFonts w:ascii="Times New Roman" w:hAnsi="Times New Roman" w:cs="Times New Roman"/>
          <w:sz w:val="30"/>
          <w:szCs w:val="30"/>
        </w:rPr>
        <w:softHyphen/>
        <w:t>sary to make provision to carry the drainage from the yards around the bird refuge.</w:t>
      </w:r>
    </w:p>
    <w:p w:rsidR="00A115FA" w:rsidRPr="00233D2C" w:rsidRDefault="00A115FA" w:rsidP="00A115FA">
      <w:pPr>
        <w:ind w:firstLine="724"/>
        <w:jc w:val="both"/>
        <w:rPr>
          <w:rFonts w:ascii="Times New Roman" w:hAnsi="Times New Roman" w:cs="Times New Roman"/>
          <w:b/>
          <w:bCs/>
          <w:color w:val="auto"/>
          <w:sz w:val="30"/>
          <w:szCs w:val="30"/>
          <w:lang w:eastAsia="ru-RU"/>
        </w:rPr>
      </w:pPr>
      <w:r w:rsidRPr="00233D2C">
        <w:rPr>
          <w:rFonts w:ascii="Times New Roman" w:hAnsi="Times New Roman" w:cs="Times New Roman"/>
          <w:b/>
          <w:bCs/>
          <w:sz w:val="30"/>
          <w:szCs w:val="30"/>
        </w:rPr>
        <w:t>Combination Brine- And Waste Oil-Disposal Plants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In several fields operators have formed brine-disposal com</w:t>
      </w:r>
      <w:r w:rsidRPr="00233D2C">
        <w:rPr>
          <w:rFonts w:ascii="Times New Roman" w:hAnsi="Times New Roman" w:cs="Times New Roman"/>
          <w:sz w:val="30"/>
          <w:szCs w:val="30"/>
        </w:rPr>
        <w:softHyphen/>
        <w:t xml:space="preserve">panies to take care of the drainage from well locations and tank batteries on oil-producing properties. </w:t>
      </w:r>
      <w:proofErr w:type="gramStart"/>
      <w:r w:rsidRPr="00233D2C">
        <w:rPr>
          <w:rFonts w:ascii="Times New Roman" w:hAnsi="Times New Roman" w:cs="Times New Roman"/>
          <w:sz w:val="30"/>
          <w:szCs w:val="30"/>
        </w:rPr>
        <w:t>Although fresh and re- claimable oil is separated from the brines and drainage on the individual leases, an appreciable quantity of oil is reclaimed by the brine-disposal companies.</w:t>
      </w:r>
      <w:proofErr w:type="gramEnd"/>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Waste-water-disposal companies have been in operation for several years in oil fields in Coastal States where the problem is the separation of the oil from brine and subsequent disposal of the waste petroleum; the brine is </w:t>
      </w:r>
      <w:r w:rsidRPr="00233D2C">
        <w:rPr>
          <w:rFonts w:ascii="Times New Roman" w:hAnsi="Times New Roman" w:cs="Times New Roman"/>
          <w:sz w:val="30"/>
          <w:szCs w:val="30"/>
        </w:rPr>
        <w:lastRenderedPageBreak/>
        <w:t>disposed of easily in nearby bodies of salt water. Waste mud fluids from drilling operations also must be disposed of and for best results they are handled separately from the brines and oil refuse.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amount of petroleum wastes incident to the production of crude petroleum is shown by information furnished the writers by one of the waste-water-disposal companies operating in Cali</w:t>
      </w:r>
      <w:r w:rsidRPr="00233D2C">
        <w:rPr>
          <w:rFonts w:ascii="Times New Roman" w:hAnsi="Times New Roman" w:cs="Times New Roman"/>
          <w:sz w:val="30"/>
          <w:szCs w:val="30"/>
        </w:rPr>
        <w:softHyphen/>
        <w:t xml:space="preserve">fornia. This company is owned cooperatively by the operators in the Santa Fe Springs, Whittier, Montebello, and </w:t>
      </w:r>
      <w:proofErr w:type="gramStart"/>
      <w:r w:rsidRPr="00233D2C">
        <w:rPr>
          <w:rFonts w:ascii="Times New Roman" w:hAnsi="Times New Roman" w:cs="Times New Roman"/>
          <w:sz w:val="30"/>
          <w:szCs w:val="30"/>
        </w:rPr>
        <w:t>Rideout Heights</w:t>
      </w:r>
      <w:proofErr w:type="gramEnd"/>
      <w:r w:rsidRPr="00233D2C">
        <w:rPr>
          <w:rFonts w:ascii="Times New Roman" w:hAnsi="Times New Roman" w:cs="Times New Roman"/>
          <w:sz w:val="30"/>
          <w:szCs w:val="30"/>
        </w:rPr>
        <w:t xml:space="preserve"> oil fields. The initial cost of the plant and pipe lines was approxi</w:t>
      </w:r>
      <w:r w:rsidRPr="00233D2C">
        <w:rPr>
          <w:rFonts w:ascii="Times New Roman" w:hAnsi="Times New Roman" w:cs="Times New Roman"/>
          <w:sz w:val="30"/>
          <w:szCs w:val="30"/>
        </w:rPr>
        <w:softHyphen/>
        <w:t>mately $507,000. In 1936, the quantity of waste water handled by the company was approximately 72,000 barrels per day.</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Table 1 shows the operating costs, quantity of oil reclaimed, and value of reclaimed oil that was sold. Operating costs, amounts of oil re</w:t>
      </w:r>
      <w:r w:rsidRPr="00233D2C">
        <w:rPr>
          <w:rFonts w:ascii="Times New Roman" w:hAnsi="Times New Roman" w:cs="Times New Roman"/>
          <w:sz w:val="30"/>
          <w:szCs w:val="30"/>
        </w:rPr>
        <w:softHyphen/>
        <w:t>claimed, and value of reclaimed oil from 1930 to 1935, inclusive, of a waste-dater-disposal company op</w:t>
      </w:r>
      <w:r w:rsidRPr="00233D2C">
        <w:rPr>
          <w:rFonts w:ascii="Times New Roman" w:hAnsi="Times New Roman" w:cs="Times New Roman"/>
          <w:sz w:val="30"/>
          <w:szCs w:val="30"/>
        </w:rPr>
        <w:softHyphen/>
        <w:t>erating in the Santa Fe Springs area, Calif.:</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8872CD" w:rsidP="00A115FA">
      <w:pPr>
        <w:ind w:firstLine="724"/>
        <w:jc w:val="center"/>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1869440" cy="1651635"/>
            <wp:effectExtent l="0" t="0" r="0" b="5715"/>
            <wp:docPr id="4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9440" cy="1651635"/>
                    </a:xfrm>
                    <a:prstGeom prst="rect">
                      <a:avLst/>
                    </a:prstGeom>
                    <a:noFill/>
                    <a:ln>
                      <a:noFill/>
                    </a:ln>
                  </pic:spPr>
                </pic:pic>
              </a:graphicData>
            </a:graphic>
          </wp:inline>
        </w:drawing>
      </w:r>
    </w:p>
    <w:p w:rsidR="00A115FA" w:rsidRPr="00233D2C" w:rsidRDefault="00A115FA" w:rsidP="00A115FA">
      <w:pPr>
        <w:autoSpaceDE w:val="0"/>
        <w:autoSpaceDN w:val="0"/>
        <w:adjustRightInd w:val="0"/>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lang w:val="kk-KZ"/>
        </w:rPr>
        <w:t>Ғ</w:t>
      </w:r>
      <w:r w:rsidRPr="00233D2C">
        <w:rPr>
          <w:rFonts w:ascii="Times New Roman" w:hAnsi="Times New Roman" w:cs="Times New Roman"/>
          <w:sz w:val="30"/>
          <w:szCs w:val="30"/>
        </w:rPr>
        <w:t>igure 11.—Concrete Sump for gas- engine wastes.</w:t>
      </w:r>
    </w:p>
    <w:p w:rsidR="00A115FA" w:rsidRPr="00233D2C" w:rsidRDefault="008872CD" w:rsidP="00A115FA">
      <w:pPr>
        <w:ind w:firstLine="724"/>
        <w:jc w:val="center"/>
        <w:rPr>
          <w:rFonts w:ascii="Times New Roman" w:hAnsi="Times New Roman" w:cs="Times New Roman"/>
          <w:color w:val="auto"/>
          <w:sz w:val="30"/>
          <w:szCs w:val="30"/>
          <w:lang w:eastAsia="ru-RU"/>
        </w:rPr>
      </w:pPr>
      <w:r>
        <w:rPr>
          <w:rFonts w:ascii="Times New Roman" w:hAnsi="Times New Roman" w:cs="Times New Roman"/>
          <w:noProof/>
          <w:color w:val="auto"/>
          <w:sz w:val="30"/>
          <w:szCs w:val="30"/>
          <w:lang w:val="ru-RU" w:eastAsia="ru-RU" w:bidi="ar-SA"/>
        </w:rPr>
        <w:drawing>
          <wp:inline distT="0" distB="0" distL="0" distR="0">
            <wp:extent cx="3794125" cy="2538730"/>
            <wp:effectExtent l="0" t="0" r="0" b="0"/>
            <wp:docPr id="4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94125" cy="2538730"/>
                    </a:xfrm>
                    <a:prstGeom prst="rect">
                      <a:avLst/>
                    </a:prstGeom>
                    <a:noFill/>
                    <a:ln>
                      <a:noFill/>
                    </a:ln>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Figure 12.—</w:t>
      </w:r>
      <w:proofErr w:type="gramStart"/>
      <w:r w:rsidRPr="00233D2C">
        <w:rPr>
          <w:rFonts w:ascii="Times New Roman" w:hAnsi="Times New Roman" w:cs="Times New Roman"/>
          <w:sz w:val="30"/>
          <w:szCs w:val="30"/>
        </w:rPr>
        <w:t>A</w:t>
      </w:r>
      <w:proofErr w:type="gramEnd"/>
      <w:r w:rsidRPr="00233D2C">
        <w:rPr>
          <w:rFonts w:ascii="Times New Roman" w:hAnsi="Times New Roman" w:cs="Times New Roman"/>
          <w:sz w:val="30"/>
          <w:szCs w:val="30"/>
        </w:rPr>
        <w:t xml:space="preserve"> poorly maintained booster pump. 28</w:t>
      </w:r>
    </w:p>
    <w:p w:rsidR="00A115FA" w:rsidRPr="00233D2C" w:rsidRDefault="00A115FA" w:rsidP="00A115FA">
      <w:pPr>
        <w:ind w:firstLine="724"/>
        <w:jc w:val="both"/>
        <w:rPr>
          <w:rFonts w:ascii="Times New Roman" w:hAnsi="Times New Roman" w:cs="Times New Roman"/>
          <w:sz w:val="30"/>
          <w:szCs w:val="30"/>
          <w:lang w:val="kk-KZ"/>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reclaimed oil was sold either for fuel, or road oil and the income derived from its sale, as shown in table 1, paid almost 60 percent of the operating expense over the 6-year period.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One of the major problems confronting operators of waste- water-</w:t>
      </w:r>
      <w:r w:rsidRPr="00233D2C">
        <w:rPr>
          <w:rFonts w:ascii="Times New Roman" w:hAnsi="Times New Roman" w:cs="Times New Roman"/>
          <w:sz w:val="30"/>
          <w:szCs w:val="30"/>
        </w:rPr>
        <w:lastRenderedPageBreak/>
        <w:t>disposal systems is to separate oily wastes and emulsions from brines before discharging the brines into the ocean. The writers were informed that at the Santa Fe Springs waste-water- disposal plant the maximum limits were 13 p.p.m. of oil in the brines and a normal minimum of 5 p.p.m. In other words, in a plant handling 72,000 barrels of brine per day, the maximum amount of oil discharged with the brine did not exceed 39.3 gal</w:t>
      </w:r>
      <w:r w:rsidRPr="00233D2C">
        <w:rPr>
          <w:rFonts w:ascii="Times New Roman" w:hAnsi="Times New Roman" w:cs="Times New Roman"/>
          <w:sz w:val="30"/>
          <w:szCs w:val="30"/>
        </w:rPr>
        <w:softHyphen/>
        <w:t>lons of oil per day. Under most efficient operation only 15.1 gal</w:t>
      </w:r>
      <w:r w:rsidRPr="00233D2C">
        <w:rPr>
          <w:rFonts w:ascii="Times New Roman" w:hAnsi="Times New Roman" w:cs="Times New Roman"/>
          <w:sz w:val="30"/>
          <w:szCs w:val="30"/>
        </w:rPr>
        <w:softHyphen/>
        <w:t>lons of oil would enter the ocean per day. Such concentrations of oil in brine are not easily discernible by the eye.</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thickness of oil film, appearance of the film, and the quan</w:t>
      </w:r>
      <w:r w:rsidRPr="00233D2C">
        <w:rPr>
          <w:rFonts w:ascii="Times New Roman" w:hAnsi="Times New Roman" w:cs="Times New Roman"/>
          <w:sz w:val="30"/>
          <w:szCs w:val="30"/>
        </w:rPr>
        <w:softHyphen/>
        <w:t>tity of oil required to form the bright bands of color observed on water surfaces covered with small quantities of oil have been re</w:t>
      </w:r>
      <w:r w:rsidRPr="00233D2C">
        <w:rPr>
          <w:rFonts w:ascii="Times New Roman" w:hAnsi="Times New Roman" w:cs="Times New Roman"/>
          <w:sz w:val="30"/>
          <w:szCs w:val="30"/>
        </w:rPr>
        <w:softHyphen/>
        <w:t>ported by the American Petroleum Institute Committee on Dis</w:t>
      </w:r>
      <w:r w:rsidRPr="00233D2C">
        <w:rPr>
          <w:rFonts w:ascii="Times New Roman" w:hAnsi="Times New Roman" w:cs="Times New Roman"/>
          <w:sz w:val="30"/>
          <w:szCs w:val="30"/>
        </w:rPr>
        <w:softHyphen/>
        <w:t xml:space="preserve">posal of Refinery Wastes </w:t>
      </w:r>
      <w:r w:rsidRPr="00233D2C">
        <w:rPr>
          <w:rFonts w:ascii="Times New Roman" w:hAnsi="Times New Roman" w:cs="Times New Roman"/>
          <w:sz w:val="30"/>
          <w:szCs w:val="30"/>
          <w:vertAlign w:val="superscript"/>
        </w:rPr>
        <w:t>23</w:t>
      </w:r>
      <w:r w:rsidRPr="00233D2C">
        <w:rPr>
          <w:rFonts w:ascii="Times New Roman" w:hAnsi="Times New Roman" w:cs="Times New Roman"/>
          <w:sz w:val="30"/>
          <w:szCs w:val="30"/>
        </w:rPr>
        <w:t xml:space="preserve"> to be as follows:</w:t>
      </w:r>
    </w:p>
    <w:p w:rsidR="00A115FA" w:rsidRPr="00233D2C" w:rsidRDefault="00A115FA" w:rsidP="00A115FA">
      <w:pPr>
        <w:ind w:firstLine="724"/>
        <w:jc w:val="both"/>
        <w:rPr>
          <w:rFonts w:ascii="Times New Roman" w:hAnsi="Times New Roman" w:cs="Times New Roman"/>
          <w:b/>
          <w:sz w:val="30"/>
          <w:szCs w:val="30"/>
        </w:rPr>
      </w:pPr>
    </w:p>
    <w:p w:rsidR="00A115FA" w:rsidRPr="00233D2C" w:rsidRDefault="00A115FA" w:rsidP="00A115FA">
      <w:pPr>
        <w:ind w:firstLine="724"/>
        <w:jc w:val="both"/>
        <w:rPr>
          <w:rFonts w:ascii="Times New Roman" w:hAnsi="Times New Roman" w:cs="Times New Roman"/>
          <w:b/>
          <w:bCs/>
          <w:sz w:val="30"/>
          <w:szCs w:val="30"/>
        </w:rPr>
      </w:pPr>
      <w:r w:rsidRPr="00233D2C">
        <w:rPr>
          <w:rFonts w:ascii="Times New Roman" w:hAnsi="Times New Roman" w:cs="Times New Roman"/>
          <w:b/>
          <w:bCs/>
          <w:sz w:val="30"/>
          <w:szCs w:val="30"/>
        </w:rPr>
        <w:t>3.5 Oil and water separators</w:t>
      </w:r>
    </w:p>
    <w:p w:rsidR="00A115FA" w:rsidRPr="00233D2C" w:rsidRDefault="00A115FA" w:rsidP="00A115FA">
      <w:pPr>
        <w:ind w:firstLine="724"/>
        <w:jc w:val="both"/>
        <w:rPr>
          <w:rFonts w:ascii="Times New Roman" w:hAnsi="Times New Roman" w:cs="Times New Roman"/>
          <w:b/>
          <w:bCs/>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Mention already has been made of the difficulty experienced in obtaining complete separation of the oil from the water in oil- water separating systems. The writers witnessed an example of</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 xml:space="preserve">this difficulty in a brine-disposal system in an area in Texas where controlled disposal of the brine in surface streams </w:t>
      </w:r>
      <w:proofErr w:type="gramStart"/>
      <w:r w:rsidRPr="00233D2C">
        <w:rPr>
          <w:rFonts w:ascii="Times New Roman" w:hAnsi="Times New Roman" w:cs="Times New Roman"/>
          <w:sz w:val="30"/>
          <w:szCs w:val="30"/>
        </w:rPr>
        <w:t>was ;</w:t>
      </w:r>
      <w:proofErr w:type="gramEnd"/>
      <w:r w:rsidRPr="00233D2C">
        <w:rPr>
          <w:rFonts w:ascii="Times New Roman" w:hAnsi="Times New Roman" w:cs="Times New Roman"/>
          <w:sz w:val="30"/>
          <w:szCs w:val="30"/>
        </w:rPr>
        <w:t xml:space="preserve"> 'iin </w:t>
      </w:r>
      <w:r w:rsidRPr="00233D2C">
        <w:rPr>
          <w:rFonts w:ascii="Times New Roman" w:hAnsi="Times New Roman" w:cs="Times New Roman"/>
          <w:sz w:val="30"/>
          <w:szCs w:val="30"/>
          <w:lang w:val="kk-KZ" w:eastAsia="kk-KZ"/>
        </w:rPr>
        <w:t>'-ЧІ</w:t>
      </w:r>
      <w:r w:rsidRPr="00233D2C">
        <w:rPr>
          <w:rFonts w:ascii="Times New Roman" w:hAnsi="Times New Roman" w:cs="Times New Roman"/>
          <w:sz w:val="30"/>
          <w:szCs w:val="30"/>
        </w:rPr>
        <w:t>. The brine from the flow tanks at the batteries in the sys</w:t>
      </w:r>
      <w:r w:rsidRPr="00233D2C">
        <w:rPr>
          <w:rFonts w:ascii="Times New Roman" w:hAnsi="Times New Roman" w:cs="Times New Roman"/>
          <w:sz w:val="30"/>
          <w:szCs w:val="30"/>
        </w:rPr>
        <w:softHyphen/>
        <w:t>tem drained to a small concrete pit, where a second separation of oil and water took place. A siphon, operating below the fluid level in the pit, allowed the brine to flow to a large collecting pond after first passing through another pit-and-siphon arrange</w:t>
      </w:r>
      <w:r w:rsidRPr="00233D2C">
        <w:rPr>
          <w:rFonts w:ascii="Times New Roman" w:hAnsi="Times New Roman" w:cs="Times New Roman"/>
          <w:sz w:val="30"/>
          <w:szCs w:val="30"/>
        </w:rPr>
        <w:softHyphen/>
        <w:t>ment. The brine was pumped several miles from the collecting pond to an auxiliary pond of a large reservoir. The water in the auxiliary pond was maintained at a constant level by a siphon that trapped any oil that might otherwise be carried through. After five distinct processes of separation of the oil from the water, a trace of oil still was present in the auxiliary pond of the large reservoir.</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gravity-type oil-water separator in general use in the Mid-Continent area depends for its operation on the difference</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in specific gravity of the oil or emulsion and the brine. For effec</w:t>
      </w:r>
      <w:r w:rsidRPr="00233D2C">
        <w:rPr>
          <w:rFonts w:ascii="Times New Roman" w:hAnsi="Times New Roman" w:cs="Times New Roman"/>
          <w:sz w:val="30"/>
          <w:szCs w:val="30"/>
        </w:rPr>
        <w:softHyphen/>
        <w:t xml:space="preserve">tive performance, the separator must have considerable depth, the rate of flow should be slow and the retention period long. In many areas gravity separation of oil and water is assisted by the application, independently or in combination, of chemicals and heat. Chemicals reduce the interfacial tension between </w:t>
      </w:r>
      <w:proofErr w:type="gramStart"/>
      <w:r w:rsidRPr="00233D2C">
        <w:rPr>
          <w:rFonts w:ascii="Times New Roman" w:hAnsi="Times New Roman" w:cs="Times New Roman"/>
          <w:sz w:val="30"/>
          <w:szCs w:val="30"/>
        </w:rPr>
        <w:t>the and</w:t>
      </w:r>
      <w:proofErr w:type="gramEnd"/>
      <w:r w:rsidRPr="00233D2C">
        <w:rPr>
          <w:rFonts w:ascii="Times New Roman" w:hAnsi="Times New Roman" w:cs="Times New Roman"/>
          <w:sz w:val="30"/>
          <w:szCs w:val="30"/>
        </w:rPr>
        <w:t xml:space="preserve"> water, and heat reduces the viscosity of the oil—two phenom</w:t>
      </w:r>
      <w:r w:rsidRPr="00233D2C">
        <w:rPr>
          <w:rFonts w:ascii="Times New Roman" w:hAnsi="Times New Roman" w:cs="Times New Roman"/>
          <w:sz w:val="30"/>
          <w:szCs w:val="30"/>
        </w:rPr>
        <w:softHyphen/>
        <w:t>ena that aid in separating oil from brine. The amount of prelim</w:t>
      </w:r>
      <w:r w:rsidRPr="00233D2C">
        <w:rPr>
          <w:rFonts w:ascii="Times New Roman" w:hAnsi="Times New Roman" w:cs="Times New Roman"/>
          <w:sz w:val="30"/>
          <w:szCs w:val="30"/>
        </w:rPr>
        <w:softHyphen/>
        <w:t>inary treatment necessary, of course, depends primarily upon the type of oil and the type of emulsion.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The oil-water separators may be constructed of concrete, steel, wood, vitrified tile, or brick. Concrete has the advantage over other materials in that </w:t>
      </w:r>
      <w:r w:rsidRPr="00233D2C">
        <w:rPr>
          <w:rFonts w:ascii="Times New Roman" w:hAnsi="Times New Roman" w:cs="Times New Roman"/>
          <w:sz w:val="30"/>
          <w:szCs w:val="30"/>
        </w:rPr>
        <w:lastRenderedPageBreak/>
        <w:t>it resists corrosion, is fireproof, may be shaped easily to meet certain requirements in design, and, if properly designed and placed, will be leakproof.</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design of a separator necessarily is influenced by the type of oil-water mixture, because the rate of flow and the required retention time for complete separation of oil and water may be considerably less for certain mixtures than for others. The Amer</w:t>
      </w:r>
      <w:r w:rsidRPr="00233D2C">
        <w:rPr>
          <w:rFonts w:ascii="Times New Roman" w:hAnsi="Times New Roman" w:cs="Times New Roman"/>
          <w:sz w:val="30"/>
          <w:szCs w:val="30"/>
        </w:rPr>
        <w:softHyphen/>
        <w:t>ican Petroleum Institute, in its manual relating to waste water, recommends an average horizontal velocity not exceeding 2 feet per minute, a partition velocity not exceeding 4 feet per minute,</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and a displacement time of not less than 1 hour. Under such con</w:t>
      </w:r>
      <w:r w:rsidRPr="00233D2C">
        <w:rPr>
          <w:rFonts w:ascii="Times New Roman" w:hAnsi="Times New Roman" w:cs="Times New Roman"/>
          <w:sz w:val="30"/>
          <w:szCs w:val="30"/>
        </w:rPr>
        <w:softHyphen/>
        <w:t xml:space="preserve">ditions of operation, the quantity of </w:t>
      </w:r>
      <w:proofErr w:type="gramStart"/>
      <w:r w:rsidRPr="00233D2C">
        <w:rPr>
          <w:rFonts w:ascii="Times New Roman" w:hAnsi="Times New Roman" w:cs="Times New Roman"/>
          <w:sz w:val="30"/>
          <w:szCs w:val="30"/>
        </w:rPr>
        <w:t>il</w:t>
      </w:r>
      <w:proofErr w:type="gramEnd"/>
      <w:r w:rsidRPr="00233D2C">
        <w:rPr>
          <w:rFonts w:ascii="Times New Roman" w:hAnsi="Times New Roman" w:cs="Times New Roman"/>
          <w:sz w:val="30"/>
          <w:szCs w:val="30"/>
        </w:rPr>
        <w:t xml:space="preserve"> in the</w:t>
      </w:r>
      <w:r w:rsidRPr="00233D2C">
        <w:rPr>
          <w:rFonts w:ascii="Times New Roman" w:hAnsi="Times New Roman" w:cs="Times New Roman"/>
          <w:sz w:val="30"/>
          <w:szCs w:val="30"/>
        </w:rPr>
        <w:tab/>
        <w:t>will not</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exceed 30 parts per million.</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A detailed study was made by </w:t>
      </w:r>
      <w:proofErr w:type="gramStart"/>
      <w:r w:rsidRPr="00233D2C">
        <w:rPr>
          <w:rFonts w:ascii="Times New Roman" w:hAnsi="Times New Roman" w:cs="Times New Roman"/>
          <w:sz w:val="30"/>
          <w:szCs w:val="30"/>
        </w:rPr>
        <w:t>Lane  and</w:t>
      </w:r>
      <w:proofErr w:type="gramEnd"/>
      <w:r w:rsidRPr="00233D2C">
        <w:rPr>
          <w:rFonts w:ascii="Times New Roman" w:hAnsi="Times New Roman" w:cs="Times New Roman"/>
          <w:sz w:val="30"/>
          <w:szCs w:val="30"/>
        </w:rPr>
        <w:t xml:space="preserve"> others of typical methods and devices in use and proposed for the separation of oil from water and the disposal of oily water from industrial plants and ships. Included in their report of this study was a general description of a separator designed after their study of several waste refinery separators. A summation of their recommenda</w:t>
      </w:r>
      <w:r w:rsidRPr="00233D2C">
        <w:rPr>
          <w:rFonts w:ascii="Times New Roman" w:hAnsi="Times New Roman" w:cs="Times New Roman"/>
          <w:sz w:val="30"/>
          <w:szCs w:val="30"/>
        </w:rPr>
        <w:softHyphen/>
        <w:t>tions for the design and operation of an efficient oil-water sepa</w:t>
      </w:r>
      <w:r w:rsidRPr="00233D2C">
        <w:rPr>
          <w:rFonts w:ascii="Times New Roman" w:hAnsi="Times New Roman" w:cs="Times New Roman"/>
          <w:sz w:val="30"/>
          <w:szCs w:val="30"/>
        </w:rPr>
        <w:softHyphen/>
        <w:t>rator includes the following:</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1. The cross-sectional area should be such that the average</w:t>
      </w:r>
    </w:p>
    <w:p w:rsidR="00A115FA" w:rsidRPr="00233D2C" w:rsidRDefault="00A115FA" w:rsidP="00A115FA">
      <w:pPr>
        <w:tabs>
          <w:tab w:val="left" w:pos="1278"/>
        </w:tabs>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t>will</w:t>
      </w:r>
      <w:proofErr w:type="gramEnd"/>
      <w:r w:rsidRPr="00233D2C">
        <w:rPr>
          <w:rFonts w:ascii="Times New Roman" w:hAnsi="Times New Roman" w:cs="Times New Roman"/>
          <w:sz w:val="30"/>
          <w:szCs w:val="30"/>
        </w:rPr>
        <w:t xml:space="preserve"> not exceed 1 to feet per minute. The partition area should be such that turbulence is not created as the liquid passes from one compartment to another. The bottom openings preferably should be to 2 feet vertically, and discharge areas above</w:t>
      </w:r>
      <w:r w:rsidRPr="00233D2C">
        <w:rPr>
          <w:rFonts w:ascii="Times New Roman" w:hAnsi="Times New Roman" w:cs="Times New Roman"/>
          <w:sz w:val="30"/>
          <w:szCs w:val="30"/>
        </w:rPr>
        <w:tab/>
        <w:t>should be at least 2 feet in height.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 xml:space="preserve">2. The volumetric capacity should allow a displacement time of 2 </w:t>
      </w:r>
      <w:r w:rsidRPr="00233D2C">
        <w:rPr>
          <w:rFonts w:ascii="Times New Roman" w:hAnsi="Times New Roman" w:cs="Times New Roman"/>
          <w:sz w:val="30"/>
          <w:szCs w:val="30"/>
          <w:lang w:val="kk-KZ" w:eastAsia="kk-KZ"/>
        </w:rPr>
        <w:t xml:space="preserve">/2 </w:t>
      </w:r>
      <w:r w:rsidRPr="00233D2C">
        <w:rPr>
          <w:rFonts w:ascii="Times New Roman" w:hAnsi="Times New Roman" w:cs="Times New Roman"/>
          <w:sz w:val="30"/>
          <w:szCs w:val="30"/>
        </w:rPr>
        <w:t>hours, preferably more. The depth of the liquid in the separator should be at least 6 to 8 feet.</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3. The separator should have at least 4 compartments, prefer</w:t>
      </w:r>
      <w:r w:rsidRPr="00233D2C">
        <w:rPr>
          <w:rFonts w:ascii="Times New Roman" w:hAnsi="Times New Roman" w:cs="Times New Roman"/>
          <w:sz w:val="30"/>
          <w:szCs w:val="30"/>
        </w:rPr>
        <w:softHyphen/>
        <w:t>ably 6 to 10. The baffle walls are placed between the partition walls to divert the oil to the surface and to prevent direct flow through the submerged apertures. However, baffles should be placed so that turbulence does not occur.</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4. The inlet should be placed as far below the surface as prac</w:t>
      </w:r>
      <w:r w:rsidRPr="00233D2C">
        <w:rPr>
          <w:rFonts w:ascii="Times New Roman" w:hAnsi="Times New Roman" w:cs="Times New Roman"/>
          <w:sz w:val="30"/>
          <w:szCs w:val="30"/>
        </w:rPr>
        <w:softHyphen/>
        <w:t>ticable to avoid creating eddies and whirls. The outlet area should be large enough to prevent sludge sediment being carried from the bottom. The preferable velocity of the outlet is 25 feet per second, or less.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5. Frequent skimming of the surface and removal of bottom sediment is necessary for efficient operation of the separator. By building two separators in parallel, one can be kept in oper</w:t>
      </w:r>
      <w:r w:rsidRPr="00233D2C">
        <w:rPr>
          <w:rFonts w:ascii="Times New Roman" w:hAnsi="Times New Roman" w:cs="Times New Roman"/>
          <w:sz w:val="30"/>
          <w:szCs w:val="30"/>
        </w:rPr>
        <w:softHyphen/>
        <w:t>ation while the other is shut down for cleaning or repairs.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above recommendations apply to separators handling</w:t>
      </w:r>
      <w:r w:rsidRPr="00233D2C">
        <w:rPr>
          <w:rFonts w:ascii="Times New Roman" w:hAnsi="Times New Roman" w:cs="Times New Roman"/>
          <w:sz w:val="30"/>
          <w:szCs w:val="30"/>
          <w:lang w:val="kk-KZ"/>
        </w:rPr>
        <w:t xml:space="preserve"> </w:t>
      </w:r>
      <w:r w:rsidRPr="00233D2C">
        <w:rPr>
          <w:rFonts w:ascii="Times New Roman" w:hAnsi="Times New Roman" w:cs="Times New Roman"/>
          <w:sz w:val="30"/>
          <w:szCs w:val="30"/>
        </w:rPr>
        <w:t>large volumes of oil and water. For small volumes of fluid, the minimum measurements can be reduced proportionally within</w:t>
      </w:r>
    </w:p>
    <w:p w:rsidR="00A115FA" w:rsidRPr="00233D2C" w:rsidRDefault="00A115FA" w:rsidP="00A115FA">
      <w:pPr>
        <w:ind w:firstLine="724"/>
        <w:jc w:val="both"/>
        <w:rPr>
          <w:rFonts w:ascii="Times New Roman" w:hAnsi="Times New Roman" w:cs="Times New Roman"/>
          <w:color w:val="auto"/>
          <w:sz w:val="30"/>
          <w:szCs w:val="30"/>
          <w:lang w:eastAsia="ru-RU"/>
        </w:rPr>
      </w:pPr>
      <w:proofErr w:type="gramStart"/>
      <w:r w:rsidRPr="00233D2C">
        <w:rPr>
          <w:rFonts w:ascii="Times New Roman" w:hAnsi="Times New Roman" w:cs="Times New Roman"/>
          <w:sz w:val="30"/>
          <w:szCs w:val="30"/>
        </w:rPr>
        <w:lastRenderedPageBreak/>
        <w:t>reasonable</w:t>
      </w:r>
      <w:proofErr w:type="gramEnd"/>
      <w:r w:rsidRPr="00233D2C">
        <w:rPr>
          <w:rFonts w:ascii="Times New Roman" w:hAnsi="Times New Roman" w:cs="Times New Roman"/>
          <w:sz w:val="30"/>
          <w:szCs w:val="30"/>
        </w:rPr>
        <w:t xml:space="preserve"> limitation. However, the design should be influenced also by possible future requirements.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Table 2 shows the relationship of the length, width, and depth to the volume handled, with the resultant velocity, for designing a separator as recommended by the American Petroleum In</w:t>
      </w:r>
      <w:r w:rsidRPr="00233D2C">
        <w:rPr>
          <w:rFonts w:ascii="Times New Roman" w:hAnsi="Times New Roman" w:cs="Times New Roman"/>
          <w:sz w:val="30"/>
          <w:szCs w:val="30"/>
        </w:rPr>
        <w:softHyphen/>
        <w:t>stitute.</w:t>
      </w:r>
      <w:r w:rsidRPr="00233D2C">
        <w:rPr>
          <w:rFonts w:ascii="Times New Roman" w:hAnsi="Times New Roman" w:cs="Times New Roman"/>
          <w:sz w:val="30"/>
          <w:szCs w:val="30"/>
          <w:vertAlign w:val="superscript"/>
        </w:rPr>
        <w:t>27</w:t>
      </w:r>
      <w:r w:rsidRPr="00233D2C">
        <w:rPr>
          <w:rFonts w:ascii="Times New Roman" w:hAnsi="Times New Roman" w:cs="Times New Roman"/>
          <w:sz w:val="30"/>
          <w:szCs w:val="30"/>
        </w:rPr>
        <w:t xml:space="preserve"> </w:t>
      </w:r>
      <w:proofErr w:type="gramStart"/>
      <w:r w:rsidRPr="00233D2C">
        <w:rPr>
          <w:rFonts w:ascii="Times New Roman" w:hAnsi="Times New Roman" w:cs="Times New Roman"/>
          <w:sz w:val="30"/>
          <w:szCs w:val="30"/>
        </w:rPr>
        <w:t>The</w:t>
      </w:r>
      <w:proofErr w:type="gramEnd"/>
      <w:r w:rsidRPr="00233D2C">
        <w:rPr>
          <w:rFonts w:ascii="Times New Roman" w:hAnsi="Times New Roman" w:cs="Times New Roman"/>
          <w:sz w:val="30"/>
          <w:szCs w:val="30"/>
        </w:rPr>
        <w:t xml:space="preserve"> figures are approximate, since they were scaled from curves.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A diagrammatic sketch of an oil-water separator is shown in figure 13. Necessarily, the design is general, since it is dependent on the type of mixture and the volume to be handled.</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Petroleum wastes flowing over agriculture lands or into creeks and streams often result in serious damage to vegetation and aquatic and wild life, and render the waters unfit for domestic, rural, and industrial use. In addition to possible fire hazards, such practices also often make areas along streams and other bodies of water unfit for recreational purposes.</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Fonts w:ascii="Times New Roman" w:hAnsi="Times New Roman" w:cs="Times New Roman"/>
          <w:sz w:val="30"/>
          <w:szCs w:val="30"/>
        </w:rPr>
        <w:t>The preliminary studies by the writers indicate that operators have found, first, that by keeping pumping machinery, tanks, and other lease equipment in good repair and by proper operating methods and treatment of emulsions, much of the so-called petro</w:t>
      </w:r>
      <w:r w:rsidRPr="00233D2C">
        <w:rPr>
          <w:rFonts w:ascii="Times New Roman" w:hAnsi="Times New Roman" w:cs="Times New Roman"/>
          <w:sz w:val="30"/>
          <w:szCs w:val="30"/>
        </w:rPr>
        <w:softHyphen/>
        <w:t>leum wastes can be reduced materially; second, by the proper design, location, and operation of oil and water separators and brine pits and proper drainage from well sites, powers, material yards, etc., petroleum wastes can be disposed of without injury or damage to other properties.</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567"/>
        <w:jc w:val="both"/>
        <w:rPr>
          <w:rFonts w:ascii="Times New Roman" w:hAnsi="Times New Roman" w:cs="Times New Roman"/>
          <w:b/>
          <w:sz w:val="30"/>
          <w:szCs w:val="30"/>
          <w:lang w:val="kk-KZ"/>
        </w:rPr>
      </w:pPr>
      <w:r w:rsidRPr="00233D2C">
        <w:rPr>
          <w:rFonts w:ascii="Times New Roman" w:hAnsi="Times New Roman" w:cs="Times New Roman"/>
          <w:b/>
          <w:sz w:val="30"/>
          <w:szCs w:val="30"/>
        </w:rPr>
        <w:t xml:space="preserve">3.6 </w:t>
      </w:r>
      <w:r w:rsidRPr="00233D2C">
        <w:rPr>
          <w:rFonts w:ascii="Times New Roman" w:hAnsi="Times New Roman" w:cs="Times New Roman"/>
          <w:b/>
          <w:sz w:val="30"/>
          <w:szCs w:val="30"/>
          <w:lang w:val="kk-KZ"/>
        </w:rPr>
        <w:t>Disposal of worked petroleum products and oil-treatment for obtaining rubber mixture</w:t>
      </w:r>
    </w:p>
    <w:p w:rsidR="00A115FA" w:rsidRPr="00233D2C" w:rsidRDefault="00A115FA" w:rsidP="00A115FA">
      <w:pPr>
        <w:ind w:firstLine="567"/>
        <w:jc w:val="center"/>
        <w:rPr>
          <w:rFonts w:ascii="Times New Roman" w:hAnsi="Times New Roman" w:cs="Times New Roman"/>
          <w:sz w:val="30"/>
          <w:szCs w:val="30"/>
          <w:lang w:val="kk-KZ"/>
        </w:rPr>
      </w:pPr>
    </w:p>
    <w:p w:rsidR="00A115FA" w:rsidRPr="00233D2C" w:rsidRDefault="00A115FA" w:rsidP="00A115FA">
      <w:pPr>
        <w:widowControl/>
        <w:ind w:firstLine="709"/>
        <w:jc w:val="both"/>
        <w:rPr>
          <w:rFonts w:ascii="Times New Roman" w:eastAsia="Times New Roman" w:hAnsi="Times New Roman" w:cs="Times New Roman"/>
          <w:color w:val="auto"/>
          <w:sz w:val="30"/>
          <w:szCs w:val="30"/>
          <w:lang w:val="kk-KZ" w:eastAsia="ru-RU" w:bidi="ar-SA"/>
        </w:rPr>
      </w:pPr>
      <w:r w:rsidRPr="00233D2C">
        <w:rPr>
          <w:rFonts w:ascii="Times New Roman" w:eastAsia="Times New Roman" w:hAnsi="Times New Roman" w:cs="Times New Roman"/>
          <w:color w:val="auto"/>
          <w:sz w:val="30"/>
          <w:szCs w:val="30"/>
          <w:lang w:eastAsia="ru-RU" w:bidi="ar-SA"/>
        </w:rPr>
        <w:t>Purpose of the study</w:t>
      </w:r>
      <w:r w:rsidRPr="00233D2C">
        <w:rPr>
          <w:rFonts w:ascii="Times New Roman" w:eastAsia="Times New Roman" w:hAnsi="Times New Roman" w:cs="Times New Roman"/>
          <w:color w:val="auto"/>
          <w:sz w:val="30"/>
          <w:szCs w:val="30"/>
          <w:lang w:val="kk-KZ" w:eastAsia="ru-RU" w:bidi="ar-SA"/>
        </w:rPr>
        <w:t xml:space="preserve"> </w:t>
      </w:r>
      <w:r w:rsidRPr="00233D2C">
        <w:rPr>
          <w:rFonts w:ascii="Times New Roman" w:eastAsia="Times New Roman" w:hAnsi="Times New Roman" w:cs="Times New Roman"/>
          <w:color w:val="auto"/>
          <w:sz w:val="30"/>
          <w:szCs w:val="30"/>
          <w:lang w:eastAsia="ru-RU" w:bidi="ar-SA"/>
        </w:rPr>
        <w:t xml:space="preserve">In terms of the negative impact on the environment, the oil industry occupies one of the leading positions among industrial sectors, the development of which contributes to an increase in the volumes of oily waste generated, which has a negative impact on the environment. In the Republic of Kazakhstan, the oil industry is developing rapidly. In this regard, of course, one of the priority tasks aimed at reducing the negative impact of waste on the environment and improving the resource supply of the economy is the development and implementation of new promising areas for the disposal of large-scale refining waste with the creation of innovative industries. Therefore, the search for rational use of sludge in various industries is becoming relevant for the economy of Kazakhstan. A wide range of oily waste formulations requires the development of economically viable and environmentally efficient technologies that help solve the problem of the integrated use of sludge. One </w:t>
      </w:r>
      <w:r w:rsidRPr="00233D2C">
        <w:rPr>
          <w:rFonts w:ascii="Times New Roman" w:eastAsia="Times New Roman" w:hAnsi="Times New Roman" w:cs="Times New Roman"/>
          <w:color w:val="auto"/>
          <w:sz w:val="30"/>
          <w:szCs w:val="30"/>
          <w:lang w:eastAsia="ru-RU" w:bidi="ar-SA"/>
        </w:rPr>
        <w:lastRenderedPageBreak/>
        <w:t>of the possible ways to utilize sludge is to use it as a rubber compounding ingredient.</w:t>
      </w:r>
    </w:p>
    <w:p w:rsidR="00A115FA" w:rsidRPr="00233D2C" w:rsidRDefault="00A115FA" w:rsidP="00A115FA">
      <w:pPr>
        <w:widowControl/>
        <w:ind w:firstLine="709"/>
        <w:jc w:val="both"/>
        <w:rPr>
          <w:rFonts w:ascii="Times New Roman" w:eastAsia="Times New Roman" w:hAnsi="Times New Roman" w:cs="Times New Roman"/>
          <w:color w:val="auto"/>
          <w:sz w:val="30"/>
          <w:szCs w:val="30"/>
          <w:lang w:val="kk-KZ" w:eastAsia="ru-RU" w:bidi="ar-SA"/>
        </w:rPr>
      </w:pPr>
      <w:r w:rsidRPr="00233D2C">
        <w:rPr>
          <w:rFonts w:ascii="Times New Roman" w:eastAsia="Times New Roman" w:hAnsi="Times New Roman" w:cs="Times New Roman"/>
          <w:color w:val="auto"/>
          <w:sz w:val="30"/>
          <w:szCs w:val="30"/>
          <w:lang w:eastAsia="ru-RU" w:bidi="ar-SA"/>
        </w:rPr>
        <w:t>In connection with the above, the purpose of this work is to study the complex effect of new ingredients derived from oil sludge on the properties of rubber</w:t>
      </w:r>
    </w:p>
    <w:p w:rsidR="00A115FA" w:rsidRPr="00233D2C" w:rsidRDefault="00A115FA" w:rsidP="00A115FA">
      <w:pPr>
        <w:widowControl/>
        <w:ind w:firstLine="709"/>
        <w:jc w:val="both"/>
        <w:rPr>
          <w:rFonts w:ascii="Times New Roman" w:eastAsia="Times New Roman" w:hAnsi="Times New Roman" w:cs="Times New Roman"/>
          <w:color w:val="auto"/>
          <w:sz w:val="30"/>
          <w:szCs w:val="30"/>
          <w:lang w:val="kk-KZ" w:eastAsia="ru-RU" w:bidi="ar-SA"/>
        </w:rPr>
      </w:pPr>
      <w:r w:rsidRPr="00233D2C">
        <w:rPr>
          <w:rFonts w:ascii="Times New Roman" w:eastAsia="Times New Roman" w:hAnsi="Times New Roman" w:cs="Times New Roman"/>
          <w:color w:val="auto"/>
          <w:sz w:val="30"/>
          <w:szCs w:val="30"/>
          <w:lang w:eastAsia="ru-RU" w:bidi="ar-SA"/>
        </w:rPr>
        <w:t xml:space="preserve">  In previous studies [1], we found that the organic part of the oil sludge of PetroKazakhstanOilProdakts LLP (PKOP LLP) does not have light fractions, its composition and properties approach heavy oil residues with elevated tar and asphaltenes. The presence of a large amount of aromatics and unsaturated hydrocarbons in the organic part of the sludge allowed us to use it as a softener in the recipes of rubber compounds for the manufacture of floor linings. The study of the mineral part of the oil sludge "PKOP" LLP allowed us to conclude about the possibility of its use as </w:t>
      </w:r>
      <w:proofErr w:type="gramStart"/>
      <w:r w:rsidRPr="00233D2C">
        <w:rPr>
          <w:rFonts w:ascii="Times New Roman" w:eastAsia="Times New Roman" w:hAnsi="Times New Roman" w:cs="Times New Roman"/>
          <w:color w:val="auto"/>
          <w:sz w:val="30"/>
          <w:szCs w:val="30"/>
          <w:lang w:eastAsia="ru-RU" w:bidi="ar-SA"/>
        </w:rPr>
        <w:t>a filler</w:t>
      </w:r>
      <w:proofErr w:type="gramEnd"/>
      <w:r w:rsidRPr="00233D2C">
        <w:rPr>
          <w:rFonts w:ascii="Times New Roman" w:eastAsia="Times New Roman" w:hAnsi="Times New Roman" w:cs="Times New Roman"/>
          <w:color w:val="auto"/>
          <w:sz w:val="30"/>
          <w:szCs w:val="30"/>
          <w:lang w:eastAsia="ru-RU" w:bidi="ar-SA"/>
        </w:rPr>
        <w:t xml:space="preserve"> in rubber mixtures, as it has a high dispersion and a developed specific surface. Analysis of the particle size distribution of mechanical impurities isolated from oil sludge PKOP LLP showed that 87.9% of the mineral sludge </w:t>
      </w:r>
      <w:proofErr w:type="gramStart"/>
      <w:r w:rsidRPr="00233D2C">
        <w:rPr>
          <w:rFonts w:ascii="Times New Roman" w:eastAsia="Times New Roman" w:hAnsi="Times New Roman" w:cs="Times New Roman"/>
          <w:color w:val="auto"/>
          <w:sz w:val="30"/>
          <w:szCs w:val="30"/>
          <w:lang w:eastAsia="ru-RU" w:bidi="ar-SA"/>
        </w:rPr>
        <w:t>are</w:t>
      </w:r>
      <w:proofErr w:type="gramEnd"/>
      <w:r w:rsidRPr="00233D2C">
        <w:rPr>
          <w:rFonts w:ascii="Times New Roman" w:eastAsia="Times New Roman" w:hAnsi="Times New Roman" w:cs="Times New Roman"/>
          <w:color w:val="auto"/>
          <w:sz w:val="30"/>
          <w:szCs w:val="30"/>
          <w:lang w:eastAsia="ru-RU" w:bidi="ar-SA"/>
        </w:rPr>
        <w:t xml:space="preserve"> fine (less than 0.5 mm). The value of the specific surface area of ​​sludge was 31.2 m 2 / g.</w:t>
      </w:r>
    </w:p>
    <w:p w:rsidR="00A115FA" w:rsidRPr="00233D2C" w:rsidRDefault="00A115FA" w:rsidP="00A115FA">
      <w:pPr>
        <w:widowControl/>
        <w:ind w:firstLine="709"/>
        <w:jc w:val="both"/>
        <w:rPr>
          <w:rFonts w:ascii="Times New Roman" w:eastAsia="Times New Roman" w:hAnsi="Times New Roman" w:cs="Times New Roman"/>
          <w:color w:val="auto"/>
          <w:sz w:val="30"/>
          <w:szCs w:val="30"/>
          <w:lang w:eastAsia="ru-RU" w:bidi="ar-SA"/>
        </w:rPr>
      </w:pPr>
      <w:r w:rsidRPr="00233D2C">
        <w:rPr>
          <w:rFonts w:ascii="Times New Roman" w:eastAsia="Times New Roman" w:hAnsi="Times New Roman" w:cs="Times New Roman"/>
          <w:color w:val="auto"/>
          <w:sz w:val="30"/>
          <w:szCs w:val="30"/>
          <w:lang w:eastAsia="ru-RU" w:bidi="ar-SA"/>
        </w:rPr>
        <w:t>The mineral impurities of oil sludge contain alkali metal salts, organometallic compounds, which are part of the combustible mass of oil sludge and contain atoms of iron, magnesium, aluminum, copper, etc. Mechanical impurities are sand (quartz), clay (kaolinite), silt, metal corrosion products (rust) [2].</w:t>
      </w:r>
    </w:p>
    <w:p w:rsidR="00A115FA" w:rsidRPr="00233D2C" w:rsidRDefault="00A115FA" w:rsidP="00A115FA">
      <w:pPr>
        <w:ind w:firstLine="724"/>
        <w:jc w:val="both"/>
        <w:rPr>
          <w:rFonts w:ascii="Times New Roman" w:hAnsi="Times New Roman" w:cs="Times New Roman"/>
          <w:color w:val="auto"/>
          <w:sz w:val="30"/>
          <w:szCs w:val="30"/>
          <w:lang w:eastAsia="ru-RU"/>
        </w:rPr>
      </w:pPr>
      <w:r w:rsidRPr="00233D2C">
        <w:rPr>
          <w:rStyle w:val="tlid-translation"/>
          <w:rFonts w:ascii="Times New Roman" w:hAnsi="Times New Roman" w:cs="Times New Roman"/>
          <w:sz w:val="30"/>
          <w:szCs w:val="30"/>
        </w:rPr>
        <w:t>  X-ray phase analysis of oil sludge PKOP LLP on the DRON-3 instrument (X-ray diffractometer of general purpose) showed that the main components of the mineral part of the oil sludge are quartz, calcite. In the sample under study (Figure 1), diffraction maxima with interplanar spacings d / n = 4.24-4.08-3.24-2.45-2.28-1.81-1.53A0 belong to the β-crystal lattices Quara (βSiO2) - the main phase. Calcium carbonate is observed in an insignificant amount by the values of the interplanar spacing d / n = 3.02-2.52-2.28-2.08A0.</w:t>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8872CD" w:rsidP="00A115FA">
      <w:pPr>
        <w:ind w:firstLine="724"/>
        <w:jc w:val="both"/>
        <w:rPr>
          <w:rFonts w:ascii="Times New Roman" w:hAnsi="Times New Roman" w:cs="Times New Roman"/>
          <w:color w:val="auto"/>
          <w:sz w:val="30"/>
          <w:szCs w:val="30"/>
          <w:lang w:eastAsia="ru-RU"/>
        </w:rPr>
      </w:pPr>
      <w:r>
        <w:rPr>
          <w:rFonts w:ascii="Times New Roman" w:hAnsi="Times New Roman" w:cs="Times New Roman"/>
          <w:noProof/>
          <w:sz w:val="30"/>
          <w:szCs w:val="30"/>
          <w:lang w:val="ru-RU" w:eastAsia="ru-RU" w:bidi="ar-SA"/>
        </w:rPr>
        <w:lastRenderedPageBreak/>
        <w:drawing>
          <wp:inline distT="0" distB="0" distL="0" distR="0">
            <wp:extent cx="5158740" cy="2279015"/>
            <wp:effectExtent l="19050" t="19050" r="22860" b="26035"/>
            <wp:docPr id="42" name="Рисунок 3" descr="C:\Users\admin\Desktop\Сакибаева С.А. №68-2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admin\Desktop\Сакибаева С.А. №68-26\003.jpg"/>
                    <pic:cNvPicPr>
                      <a:picLocks noChangeAspect="1" noChangeArrowheads="1"/>
                    </pic:cNvPicPr>
                  </pic:nvPicPr>
                  <pic:blipFill>
                    <a:blip r:embed="rId30">
                      <a:lum bright="-20000" contrast="40000"/>
                      <a:extLst>
                        <a:ext uri="{28A0092B-C50C-407E-A947-70E740481C1C}">
                          <a14:useLocalDpi xmlns:a14="http://schemas.microsoft.com/office/drawing/2010/main" val="0"/>
                        </a:ext>
                      </a:extLst>
                    </a:blip>
                    <a:srcRect l="5035" t="21571" b="17989"/>
                    <a:stretch>
                      <a:fillRect/>
                    </a:stretch>
                  </pic:blipFill>
                  <pic:spPr bwMode="auto">
                    <a:xfrm>
                      <a:off x="0" y="0"/>
                      <a:ext cx="5158740" cy="2279015"/>
                    </a:xfrm>
                    <a:prstGeom prst="rect">
                      <a:avLst/>
                    </a:prstGeom>
                    <a:noFill/>
                    <a:ln w="9525" cmpd="sng">
                      <a:solidFill>
                        <a:srgbClr val="000000"/>
                      </a:solidFill>
                      <a:miter lim="800000"/>
                      <a:headEnd/>
                      <a:tailEnd/>
                    </a:ln>
                    <a:effectLst/>
                  </pic:spPr>
                </pic:pic>
              </a:graphicData>
            </a:graphic>
          </wp:inline>
        </w:drawing>
      </w: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Fonts w:ascii="Times New Roman" w:hAnsi="Times New Roman" w:cs="Times New Roman"/>
          <w:color w:val="auto"/>
          <w:sz w:val="30"/>
          <w:szCs w:val="30"/>
          <w:lang w:eastAsia="ru-RU"/>
        </w:rPr>
      </w:pPr>
    </w:p>
    <w:p w:rsidR="00A115FA" w:rsidRPr="00233D2C" w:rsidRDefault="00A115FA" w:rsidP="00A115FA">
      <w:pPr>
        <w:ind w:firstLine="724"/>
        <w:jc w:val="both"/>
        <w:rPr>
          <w:rStyle w:val="tlid-translation"/>
          <w:rFonts w:ascii="Times New Roman" w:hAnsi="Times New Roman" w:cs="Times New Roman"/>
          <w:sz w:val="30"/>
          <w:szCs w:val="30"/>
          <w:lang w:val="kk-KZ"/>
        </w:rPr>
      </w:pPr>
      <w:proofErr w:type="gramStart"/>
      <w:r w:rsidRPr="00233D2C">
        <w:rPr>
          <w:rStyle w:val="tlid-translation"/>
          <w:rFonts w:ascii="Times New Roman" w:hAnsi="Times New Roman" w:cs="Times New Roman"/>
          <w:sz w:val="30"/>
          <w:szCs w:val="30"/>
        </w:rPr>
        <w:t>Figure 1.</w:t>
      </w:r>
      <w:proofErr w:type="gramEnd"/>
      <w:r w:rsidRPr="00233D2C">
        <w:rPr>
          <w:rStyle w:val="tlid-translation"/>
          <w:rFonts w:ascii="Times New Roman" w:hAnsi="Times New Roman" w:cs="Times New Roman"/>
          <w:sz w:val="30"/>
          <w:szCs w:val="30"/>
        </w:rPr>
        <w:t xml:space="preserve"> X-ray phase analysis of the mineral component</w:t>
      </w:r>
      <w:r w:rsidRPr="00233D2C">
        <w:rPr>
          <w:rFonts w:ascii="Times New Roman" w:hAnsi="Times New Roman" w:cs="Times New Roman"/>
          <w:sz w:val="30"/>
          <w:szCs w:val="30"/>
        </w:rPr>
        <w:br/>
      </w:r>
      <w:r w:rsidRPr="00233D2C">
        <w:rPr>
          <w:rStyle w:val="tlid-translation"/>
          <w:rFonts w:ascii="Times New Roman" w:hAnsi="Times New Roman" w:cs="Times New Roman"/>
          <w:sz w:val="30"/>
          <w:szCs w:val="30"/>
        </w:rPr>
        <w:t>oil sludge</w:t>
      </w:r>
    </w:p>
    <w:p w:rsidR="00A115FA" w:rsidRPr="00233D2C" w:rsidRDefault="00A115FA" w:rsidP="00A115FA">
      <w:pPr>
        <w:ind w:firstLine="724"/>
        <w:jc w:val="both"/>
        <w:rPr>
          <w:rStyle w:val="tlid-translation"/>
          <w:rFonts w:ascii="Times New Roman" w:hAnsi="Times New Roman" w:cs="Times New Roman"/>
          <w:sz w:val="30"/>
          <w:szCs w:val="30"/>
          <w:lang w:val="kk-KZ"/>
        </w:rPr>
      </w:pPr>
    </w:p>
    <w:p w:rsidR="00A115FA" w:rsidRPr="00233D2C" w:rsidRDefault="00A115FA" w:rsidP="00A115FA">
      <w:pPr>
        <w:ind w:firstLine="724"/>
        <w:jc w:val="both"/>
        <w:rPr>
          <w:rStyle w:val="tlid-translation"/>
          <w:rFonts w:ascii="Times New Roman" w:hAnsi="Times New Roman" w:cs="Times New Roman"/>
          <w:sz w:val="30"/>
          <w:szCs w:val="30"/>
          <w:lang w:val="kk-KZ"/>
        </w:rPr>
      </w:pPr>
      <w:r w:rsidRPr="00233D2C">
        <w:rPr>
          <w:rStyle w:val="tlid-translation"/>
          <w:rFonts w:ascii="Times New Roman" w:hAnsi="Times New Roman" w:cs="Times New Roman"/>
          <w:sz w:val="30"/>
          <w:szCs w:val="30"/>
        </w:rPr>
        <w:t xml:space="preserve">To identify the activity of the organic part and the mineral part of the oil sludge "PKOP" LLP in rubber mixtures, we investigated the standard rubber mixtures based on SKI-3 rubber for the manufacture of bead tape. The </w:t>
      </w:r>
      <w:proofErr w:type="gramStart"/>
      <w:r w:rsidRPr="00233D2C">
        <w:rPr>
          <w:rStyle w:val="tlid-translation"/>
          <w:rFonts w:ascii="Times New Roman" w:hAnsi="Times New Roman" w:cs="Times New Roman"/>
          <w:sz w:val="30"/>
          <w:szCs w:val="30"/>
        </w:rPr>
        <w:t>recipe of the rubber mixture for the manufacture of wear-resistant side tape are</w:t>
      </w:r>
      <w:proofErr w:type="gramEnd"/>
      <w:r w:rsidRPr="00233D2C">
        <w:rPr>
          <w:rStyle w:val="tlid-translation"/>
          <w:rFonts w:ascii="Times New Roman" w:hAnsi="Times New Roman" w:cs="Times New Roman"/>
          <w:sz w:val="30"/>
          <w:szCs w:val="30"/>
        </w:rPr>
        <w:t xml:space="preserve"> shown in table 2.</w:t>
      </w:r>
    </w:p>
    <w:p w:rsidR="00A115FA" w:rsidRPr="00233D2C" w:rsidRDefault="00A115FA" w:rsidP="00A115FA">
      <w:pPr>
        <w:widowControl/>
        <w:ind w:firstLine="724"/>
        <w:jc w:val="both"/>
        <w:rPr>
          <w:rFonts w:ascii="Times New Roman" w:eastAsia="Times New Roman" w:hAnsi="Times New Roman" w:cs="Times New Roman"/>
          <w:color w:val="auto"/>
          <w:sz w:val="30"/>
          <w:szCs w:val="30"/>
          <w:lang w:val="kk-KZ" w:eastAsia="ru-RU" w:bidi="ar-SA"/>
        </w:rPr>
      </w:pPr>
      <w:r w:rsidRPr="00233D2C">
        <w:rPr>
          <w:rFonts w:ascii="Times New Roman" w:eastAsia="Times New Roman" w:hAnsi="Times New Roman" w:cs="Times New Roman"/>
          <w:color w:val="auto"/>
          <w:sz w:val="30"/>
          <w:szCs w:val="30"/>
          <w:lang w:eastAsia="ru-RU" w:bidi="ar-SA"/>
        </w:rPr>
        <w:t xml:space="preserve">In the recipes studied, the following was changed: ASMG oil (aviation hydraulic oil) to the organic part of the sludge, partially technical carbon P 234 to the mineral part of the sludge, the amount of the mineral part of the sludge varied from 5 to 20 mh. </w:t>
      </w:r>
      <w:proofErr w:type="gramStart"/>
      <w:r w:rsidRPr="00233D2C">
        <w:rPr>
          <w:rFonts w:ascii="Times New Roman" w:eastAsia="Times New Roman" w:hAnsi="Times New Roman" w:cs="Times New Roman"/>
          <w:color w:val="auto"/>
          <w:sz w:val="30"/>
          <w:szCs w:val="30"/>
          <w:lang w:eastAsia="ru-RU" w:bidi="ar-SA"/>
        </w:rPr>
        <w:t>per</w:t>
      </w:r>
      <w:proofErr w:type="gramEnd"/>
      <w:r w:rsidRPr="00233D2C">
        <w:rPr>
          <w:rFonts w:ascii="Times New Roman" w:eastAsia="Times New Roman" w:hAnsi="Times New Roman" w:cs="Times New Roman"/>
          <w:color w:val="auto"/>
          <w:sz w:val="30"/>
          <w:szCs w:val="30"/>
          <w:lang w:eastAsia="ru-RU" w:bidi="ar-SA"/>
        </w:rPr>
        <w:t xml:space="preserve"> 100 wt. parts of rubber. Polymeric sulfur of PKOP LLP, synthesized from gas technical sulfur of PKOP LLP with elemental sulfur content of 90.4%, stability of 85.6%, was used as a vulcanizing agent. (</w:t>
      </w:r>
      <w:proofErr w:type="gramStart"/>
      <w:r w:rsidRPr="00233D2C">
        <w:rPr>
          <w:rFonts w:ascii="Times New Roman" w:eastAsia="Times New Roman" w:hAnsi="Times New Roman" w:cs="Times New Roman"/>
          <w:color w:val="auto"/>
          <w:sz w:val="30"/>
          <w:szCs w:val="30"/>
          <w:lang w:eastAsia="ru-RU" w:bidi="ar-SA"/>
        </w:rPr>
        <w:t>table</w:t>
      </w:r>
      <w:proofErr w:type="gramEnd"/>
      <w:r w:rsidRPr="00233D2C">
        <w:rPr>
          <w:rFonts w:ascii="Times New Roman" w:eastAsia="Times New Roman" w:hAnsi="Times New Roman" w:cs="Times New Roman"/>
          <w:color w:val="auto"/>
          <w:sz w:val="30"/>
          <w:szCs w:val="30"/>
          <w:lang w:eastAsia="ru-RU" w:bidi="ar-SA"/>
        </w:rPr>
        <w:t xml:space="preserve"> 2).</w:t>
      </w:r>
      <w:r w:rsidRPr="00233D2C">
        <w:rPr>
          <w:rFonts w:ascii="Times New Roman" w:eastAsia="Times New Roman" w:hAnsi="Times New Roman" w:cs="Times New Roman"/>
          <w:color w:val="auto"/>
          <w:sz w:val="30"/>
          <w:szCs w:val="30"/>
          <w:lang w:eastAsia="ru-RU" w:bidi="ar-SA"/>
        </w:rPr>
        <w:br/>
        <w:t xml:space="preserve">Thus, in the presence of the mineral part of the sludge, several processes simultaneously proceed: migration of vulcanizing agents to the solid surface and, accordingly, reduction of their content in the rubber matrix remote from the solid surface (herewith, the different migration rate of each ingredient should be taken into account); increase in the amount of bonded rubber. </w:t>
      </w:r>
      <w:proofErr w:type="gramStart"/>
      <w:r w:rsidRPr="00233D2C">
        <w:rPr>
          <w:rFonts w:ascii="Times New Roman" w:eastAsia="Times New Roman" w:hAnsi="Times New Roman" w:cs="Times New Roman"/>
          <w:color w:val="auto"/>
          <w:sz w:val="30"/>
          <w:szCs w:val="30"/>
          <w:lang w:eastAsia="ru-RU" w:bidi="ar-SA"/>
        </w:rPr>
        <w:t>The intensity of these processes, which take place mainly at the vulcanization stage, will be determined by the type and dosage of the vulcanizing agent used.</w:t>
      </w:r>
      <w:proofErr w:type="gramEnd"/>
      <w:r w:rsidRPr="00233D2C">
        <w:rPr>
          <w:rFonts w:ascii="Times New Roman" w:eastAsia="Times New Roman" w:hAnsi="Times New Roman" w:cs="Times New Roman"/>
          <w:color w:val="auto"/>
          <w:sz w:val="30"/>
          <w:szCs w:val="30"/>
          <w:lang w:eastAsia="ru-RU" w:bidi="ar-SA"/>
        </w:rPr>
        <w:t xml:space="preserve"> The decrease in the content of the vulcanizing agent in the rubber matrix further increases its crystallization rate. The increase in the sulfidity of vulcanization bonds due to the higher rate of accelerator migration to the solid surface dramatically slows down the crystallization process and this effect is manifested mainly at low dosages of the filler [5].</w:t>
      </w:r>
    </w:p>
    <w:p w:rsidR="00A115FA" w:rsidRPr="00233D2C" w:rsidRDefault="00A115FA" w:rsidP="00A115FA">
      <w:pPr>
        <w:widowControl/>
        <w:ind w:firstLine="724"/>
        <w:jc w:val="both"/>
        <w:rPr>
          <w:rFonts w:ascii="Times New Roman" w:eastAsia="Times New Roman" w:hAnsi="Times New Roman" w:cs="Times New Roman"/>
          <w:color w:val="auto"/>
          <w:sz w:val="30"/>
          <w:szCs w:val="30"/>
          <w:lang w:val="kk-KZ" w:eastAsia="ru-RU" w:bidi="ar-SA"/>
        </w:rPr>
      </w:pPr>
      <w:r w:rsidRPr="00233D2C">
        <w:rPr>
          <w:rFonts w:ascii="Times New Roman" w:eastAsia="Times New Roman" w:hAnsi="Times New Roman" w:cs="Times New Roman"/>
          <w:color w:val="auto"/>
          <w:sz w:val="30"/>
          <w:szCs w:val="30"/>
          <w:lang w:eastAsia="ru-RU" w:bidi="ar-SA"/>
        </w:rPr>
        <w:t xml:space="preserve">The study of the physicomechanical properties of rubbers synthesized using organic and mineral parts of sludge confirmed the expediency of their </w:t>
      </w:r>
      <w:r w:rsidRPr="00233D2C">
        <w:rPr>
          <w:rFonts w:ascii="Times New Roman" w:eastAsia="Times New Roman" w:hAnsi="Times New Roman" w:cs="Times New Roman"/>
          <w:color w:val="auto"/>
          <w:sz w:val="30"/>
          <w:szCs w:val="30"/>
          <w:lang w:eastAsia="ru-RU" w:bidi="ar-SA"/>
        </w:rPr>
        <w:lastRenderedPageBreak/>
        <w:t xml:space="preserve">use in the manufacture of rubber products. As mentioned above, the organic part of sludge has good compatibility with synthetic rubbers, is easily introduced into the rubber mixture, </w:t>
      </w:r>
      <w:proofErr w:type="gramStart"/>
      <w:r w:rsidRPr="00233D2C">
        <w:rPr>
          <w:rFonts w:ascii="Times New Roman" w:eastAsia="Times New Roman" w:hAnsi="Times New Roman" w:cs="Times New Roman"/>
          <w:color w:val="auto"/>
          <w:sz w:val="30"/>
          <w:szCs w:val="30"/>
          <w:lang w:eastAsia="ru-RU" w:bidi="ar-SA"/>
        </w:rPr>
        <w:t>improves</w:t>
      </w:r>
      <w:proofErr w:type="gramEnd"/>
      <w:r w:rsidRPr="00233D2C">
        <w:rPr>
          <w:rFonts w:ascii="Times New Roman" w:eastAsia="Times New Roman" w:hAnsi="Times New Roman" w:cs="Times New Roman"/>
          <w:color w:val="auto"/>
          <w:sz w:val="30"/>
          <w:szCs w:val="30"/>
          <w:lang w:eastAsia="ru-RU" w:bidi="ar-SA"/>
        </w:rPr>
        <w:t xml:space="preserve"> the dispersion of powdered ingredients [1]. Analysis of the data in table 6 shows that the best results are observed at the dosage of 10 mass parts of the mineral part of the sludge for rubber compounds intended for the manufacture of wear-resistant bead tape.</w:t>
      </w:r>
      <w:r w:rsidRPr="00233D2C">
        <w:rPr>
          <w:rFonts w:ascii="Times New Roman" w:eastAsia="Times New Roman" w:hAnsi="Times New Roman" w:cs="Times New Roman"/>
          <w:color w:val="auto"/>
          <w:sz w:val="30"/>
          <w:szCs w:val="30"/>
          <w:lang w:val="kk-KZ" w:eastAsia="ru-RU" w:bidi="ar-SA"/>
        </w:rPr>
        <w:t xml:space="preserve"> </w:t>
      </w:r>
    </w:p>
    <w:p w:rsidR="00A115FA" w:rsidRPr="00233D2C" w:rsidRDefault="00A115FA" w:rsidP="00A115FA">
      <w:pPr>
        <w:widowControl/>
        <w:ind w:firstLine="724"/>
        <w:jc w:val="both"/>
        <w:rPr>
          <w:rFonts w:ascii="Times New Roman" w:eastAsia="Times New Roman" w:hAnsi="Times New Roman" w:cs="Times New Roman"/>
          <w:color w:val="auto"/>
          <w:sz w:val="30"/>
          <w:szCs w:val="30"/>
          <w:lang w:val="kk-KZ" w:eastAsia="ru-RU" w:bidi="ar-SA"/>
        </w:rPr>
      </w:pPr>
    </w:p>
    <w:p w:rsidR="00A115FA" w:rsidRPr="00233D2C" w:rsidRDefault="00A115FA" w:rsidP="000715FB">
      <w:pPr>
        <w:widowControl/>
        <w:ind w:firstLine="724"/>
        <w:jc w:val="both"/>
        <w:rPr>
          <w:rFonts w:ascii="Times New Roman" w:hAnsi="Times New Roman" w:cs="Times New Roman"/>
          <w:sz w:val="30"/>
          <w:szCs w:val="30"/>
        </w:rPr>
      </w:pPr>
      <w:r w:rsidRPr="00233D2C">
        <w:rPr>
          <w:rFonts w:ascii="Times New Roman" w:eastAsia="Times New Roman" w:hAnsi="Times New Roman" w:cs="Times New Roman"/>
          <w:color w:val="auto"/>
          <w:sz w:val="30"/>
          <w:szCs w:val="30"/>
          <w:lang w:eastAsia="ru-RU" w:bidi="ar-SA"/>
        </w:rPr>
        <w:t>Table 6 - Physical and mechanical properties of rubber for wear-resistant side tape</w:t>
      </w:r>
    </w:p>
    <w:tbl>
      <w:tblPr>
        <w:tblpPr w:leftFromText="180" w:rightFromText="180" w:vertAnchor="text" w:tblpX="74" w:tblpY="1"/>
        <w:tblOverlap w:val="neve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678"/>
        <w:gridCol w:w="1134"/>
        <w:gridCol w:w="709"/>
        <w:gridCol w:w="709"/>
        <w:gridCol w:w="850"/>
        <w:gridCol w:w="709"/>
        <w:gridCol w:w="850"/>
      </w:tblGrid>
      <w:tr w:rsidR="00A115FA" w:rsidRPr="00233D2C" w:rsidTr="00A115FA">
        <w:trPr>
          <w:trHeight w:val="280"/>
        </w:trPr>
        <w:tc>
          <w:tcPr>
            <w:tcW w:w="4678" w:type="dxa"/>
            <w:vMerge w:val="restart"/>
            <w:vAlign w:val="center"/>
          </w:tcPr>
          <w:p w:rsidR="00A115FA" w:rsidRPr="00233D2C" w:rsidRDefault="00A115FA" w:rsidP="00A115FA">
            <w:pPr>
              <w:jc w:val="center"/>
              <w:rPr>
                <w:rFonts w:ascii="Times New Roman" w:hAnsi="Times New Roman" w:cs="Times New Roman"/>
                <w:sz w:val="30"/>
                <w:szCs w:val="30"/>
                <w:lang w:val="kk-KZ"/>
              </w:rPr>
            </w:pPr>
            <w:r w:rsidRPr="00233D2C">
              <w:rPr>
                <w:rStyle w:val="tlid-translation"/>
                <w:rFonts w:ascii="Times New Roman" w:hAnsi="Times New Roman" w:cs="Times New Roman"/>
                <w:sz w:val="30"/>
                <w:szCs w:val="30"/>
              </w:rPr>
              <w:t>The name of indicators</w:t>
            </w:r>
          </w:p>
        </w:tc>
        <w:tc>
          <w:tcPr>
            <w:tcW w:w="4961" w:type="dxa"/>
            <w:gridSpan w:val="6"/>
            <w:tcBorders>
              <w:right w:val="single" w:sz="4" w:space="0" w:color="auto"/>
            </w:tcBorders>
            <w:vAlign w:val="center"/>
          </w:tcPr>
          <w:p w:rsidR="00A115FA" w:rsidRPr="00233D2C" w:rsidRDefault="00A115FA" w:rsidP="00A115FA">
            <w:pPr>
              <w:ind w:firstLine="34"/>
              <w:rPr>
                <w:rFonts w:ascii="Times New Roman" w:hAnsi="Times New Roman" w:cs="Times New Roman"/>
                <w:sz w:val="30"/>
                <w:szCs w:val="30"/>
                <w:lang w:val="kk-KZ"/>
              </w:rPr>
            </w:pPr>
            <w:r w:rsidRPr="00233D2C">
              <w:rPr>
                <w:rStyle w:val="tlid-translation"/>
                <w:rFonts w:ascii="Times New Roman" w:hAnsi="Times New Roman" w:cs="Times New Roman"/>
                <w:sz w:val="30"/>
                <w:szCs w:val="30"/>
              </w:rPr>
              <w:t>Per 100 wt. parts of rubber</w:t>
            </w:r>
          </w:p>
        </w:tc>
      </w:tr>
      <w:tr w:rsidR="00A115FA" w:rsidRPr="00233D2C" w:rsidTr="00A115FA">
        <w:trPr>
          <w:trHeight w:val="372"/>
        </w:trPr>
        <w:tc>
          <w:tcPr>
            <w:tcW w:w="4678" w:type="dxa"/>
            <w:vMerge/>
            <w:vAlign w:val="center"/>
          </w:tcPr>
          <w:p w:rsidR="00A115FA" w:rsidRPr="00233D2C" w:rsidRDefault="00A115FA" w:rsidP="00A115FA">
            <w:pPr>
              <w:rPr>
                <w:rFonts w:ascii="Times New Roman" w:hAnsi="Times New Roman" w:cs="Times New Roman"/>
                <w:sz w:val="30"/>
                <w:szCs w:val="30"/>
                <w:lang w:val="kk-KZ"/>
              </w:rPr>
            </w:pPr>
          </w:p>
        </w:tc>
        <w:tc>
          <w:tcPr>
            <w:tcW w:w="1134" w:type="dxa"/>
          </w:tcPr>
          <w:p w:rsidR="00A115FA" w:rsidRPr="00233D2C" w:rsidRDefault="00A115FA" w:rsidP="00A115FA">
            <w:pPr>
              <w:jc w:val="center"/>
              <w:rPr>
                <w:rFonts w:ascii="Times New Roman" w:hAnsi="Times New Roman" w:cs="Times New Roman"/>
                <w:sz w:val="30"/>
                <w:szCs w:val="30"/>
              </w:rPr>
            </w:pPr>
            <w:r w:rsidRPr="00233D2C">
              <w:rPr>
                <w:rStyle w:val="tlid-translation"/>
                <w:rFonts w:ascii="Times New Roman" w:hAnsi="Times New Roman" w:cs="Times New Roman"/>
                <w:sz w:val="30"/>
                <w:szCs w:val="30"/>
              </w:rPr>
              <w:t>Reference</w:t>
            </w:r>
          </w:p>
        </w:tc>
        <w:tc>
          <w:tcPr>
            <w:tcW w:w="709" w:type="dxa"/>
            <w:vAlign w:val="center"/>
          </w:tcPr>
          <w:p w:rsidR="00A115FA" w:rsidRPr="00233D2C" w:rsidRDefault="00A115FA" w:rsidP="00A115FA">
            <w:pPr>
              <w:ind w:firstLine="34"/>
              <w:jc w:val="center"/>
              <w:rPr>
                <w:rFonts w:ascii="Times New Roman" w:hAnsi="Times New Roman" w:cs="Times New Roman"/>
                <w:sz w:val="30"/>
                <w:szCs w:val="30"/>
              </w:rPr>
            </w:pPr>
            <w:r w:rsidRPr="00233D2C">
              <w:rPr>
                <w:rFonts w:ascii="Times New Roman" w:hAnsi="Times New Roman" w:cs="Times New Roman"/>
                <w:sz w:val="30"/>
                <w:szCs w:val="30"/>
              </w:rPr>
              <w:t>5,0</w:t>
            </w:r>
          </w:p>
        </w:tc>
        <w:tc>
          <w:tcPr>
            <w:tcW w:w="709" w:type="dxa"/>
            <w:vAlign w:val="center"/>
          </w:tcPr>
          <w:p w:rsidR="00A115FA" w:rsidRPr="00233D2C" w:rsidRDefault="00A115FA" w:rsidP="00A115FA">
            <w:pPr>
              <w:ind w:firstLine="34"/>
              <w:jc w:val="center"/>
              <w:rPr>
                <w:rFonts w:ascii="Times New Roman" w:hAnsi="Times New Roman" w:cs="Times New Roman"/>
                <w:sz w:val="30"/>
                <w:szCs w:val="30"/>
              </w:rPr>
            </w:pPr>
            <w:r w:rsidRPr="00233D2C">
              <w:rPr>
                <w:rFonts w:ascii="Times New Roman" w:hAnsi="Times New Roman" w:cs="Times New Roman"/>
                <w:sz w:val="30"/>
                <w:szCs w:val="30"/>
              </w:rPr>
              <w:t>7,0</w:t>
            </w:r>
          </w:p>
        </w:tc>
        <w:tc>
          <w:tcPr>
            <w:tcW w:w="850" w:type="dxa"/>
            <w:vAlign w:val="center"/>
          </w:tcPr>
          <w:p w:rsidR="00A115FA" w:rsidRPr="00233D2C" w:rsidRDefault="00A115FA" w:rsidP="00A115FA">
            <w:pPr>
              <w:ind w:firstLine="34"/>
              <w:jc w:val="center"/>
              <w:rPr>
                <w:rFonts w:ascii="Times New Roman" w:hAnsi="Times New Roman" w:cs="Times New Roman"/>
                <w:sz w:val="30"/>
                <w:szCs w:val="30"/>
              </w:rPr>
            </w:pPr>
            <w:r w:rsidRPr="00233D2C">
              <w:rPr>
                <w:rFonts w:ascii="Times New Roman" w:hAnsi="Times New Roman" w:cs="Times New Roman"/>
                <w:sz w:val="30"/>
                <w:szCs w:val="30"/>
              </w:rPr>
              <w:t>10,0</w:t>
            </w:r>
          </w:p>
        </w:tc>
        <w:tc>
          <w:tcPr>
            <w:tcW w:w="709" w:type="dxa"/>
            <w:tcBorders>
              <w:right w:val="single" w:sz="4" w:space="0" w:color="auto"/>
            </w:tcBorders>
            <w:vAlign w:val="center"/>
          </w:tcPr>
          <w:p w:rsidR="00A115FA" w:rsidRPr="00233D2C" w:rsidRDefault="00A115FA" w:rsidP="00A115FA">
            <w:pPr>
              <w:ind w:firstLine="34"/>
              <w:jc w:val="center"/>
              <w:rPr>
                <w:rFonts w:ascii="Times New Roman" w:hAnsi="Times New Roman" w:cs="Times New Roman"/>
                <w:sz w:val="30"/>
                <w:szCs w:val="30"/>
              </w:rPr>
            </w:pPr>
            <w:r w:rsidRPr="00233D2C">
              <w:rPr>
                <w:rFonts w:ascii="Times New Roman" w:hAnsi="Times New Roman" w:cs="Times New Roman"/>
                <w:sz w:val="30"/>
                <w:szCs w:val="30"/>
              </w:rPr>
              <w:t>15,0</w:t>
            </w:r>
          </w:p>
        </w:tc>
        <w:tc>
          <w:tcPr>
            <w:tcW w:w="850" w:type="dxa"/>
            <w:tcBorders>
              <w:righ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20,0</w:t>
            </w:r>
          </w:p>
        </w:tc>
      </w:tr>
      <w:tr w:rsidR="00A115FA" w:rsidRPr="00233D2C" w:rsidTr="00A115FA">
        <w:tc>
          <w:tcPr>
            <w:tcW w:w="4678" w:type="dxa"/>
          </w:tcPr>
          <w:p w:rsidR="00A115FA" w:rsidRPr="00233D2C" w:rsidRDefault="00A115FA" w:rsidP="00A115FA">
            <w:pPr>
              <w:jc w:val="both"/>
              <w:rPr>
                <w:rFonts w:ascii="Times New Roman" w:hAnsi="Times New Roman" w:cs="Times New Roman"/>
                <w:sz w:val="30"/>
                <w:szCs w:val="30"/>
              </w:rPr>
            </w:pPr>
            <w:r w:rsidRPr="00233D2C">
              <w:rPr>
                <w:rFonts w:ascii="Times New Roman" w:hAnsi="Times New Roman" w:cs="Times New Roman"/>
                <w:sz w:val="30"/>
                <w:szCs w:val="30"/>
              </w:rPr>
              <w:t xml:space="preserve"> </w:t>
            </w:r>
            <w:r w:rsidRPr="00233D2C">
              <w:rPr>
                <w:rStyle w:val="tlid-translation"/>
                <w:rFonts w:ascii="Times New Roman" w:hAnsi="Times New Roman" w:cs="Times New Roman"/>
                <w:sz w:val="30"/>
                <w:szCs w:val="30"/>
              </w:rPr>
              <w:t xml:space="preserve"> Conventional tensile strength, kgf / cm2, not less</w:t>
            </w:r>
          </w:p>
        </w:tc>
        <w:tc>
          <w:tcPr>
            <w:tcW w:w="1134" w:type="dxa"/>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190</w:t>
            </w:r>
          </w:p>
        </w:tc>
        <w:tc>
          <w:tcPr>
            <w:tcW w:w="709" w:type="dxa"/>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185</w:t>
            </w:r>
          </w:p>
        </w:tc>
        <w:tc>
          <w:tcPr>
            <w:tcW w:w="709" w:type="dxa"/>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187</w:t>
            </w:r>
          </w:p>
        </w:tc>
        <w:tc>
          <w:tcPr>
            <w:tcW w:w="850" w:type="dxa"/>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192</w:t>
            </w:r>
          </w:p>
        </w:tc>
        <w:tc>
          <w:tcPr>
            <w:tcW w:w="709" w:type="dxa"/>
            <w:tcBorders>
              <w:right w:val="single" w:sz="4" w:space="0" w:color="auto"/>
            </w:tcBorders>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190</w:t>
            </w:r>
          </w:p>
        </w:tc>
        <w:tc>
          <w:tcPr>
            <w:tcW w:w="850" w:type="dxa"/>
            <w:tcBorders>
              <w:left w:val="single" w:sz="4" w:space="0" w:color="auto"/>
            </w:tcBorders>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185</w:t>
            </w:r>
          </w:p>
        </w:tc>
      </w:tr>
      <w:tr w:rsidR="00A115FA" w:rsidRPr="00233D2C" w:rsidTr="00A115FA">
        <w:tc>
          <w:tcPr>
            <w:tcW w:w="4678" w:type="dxa"/>
          </w:tcPr>
          <w:p w:rsidR="00A115FA" w:rsidRPr="00233D2C" w:rsidRDefault="00A115FA" w:rsidP="00A115FA">
            <w:pPr>
              <w:rPr>
                <w:rFonts w:ascii="Times New Roman" w:hAnsi="Times New Roman" w:cs="Times New Roman"/>
                <w:sz w:val="30"/>
                <w:szCs w:val="30"/>
              </w:rPr>
            </w:pPr>
            <w:r w:rsidRPr="00233D2C">
              <w:rPr>
                <w:rStyle w:val="tlid-translation"/>
                <w:rFonts w:ascii="Times New Roman" w:hAnsi="Times New Roman" w:cs="Times New Roman"/>
                <w:sz w:val="30"/>
                <w:szCs w:val="30"/>
              </w:rPr>
              <w:t>Conditional stress at elongation of 300%, kgf / cm2</w:t>
            </w:r>
          </w:p>
        </w:tc>
        <w:tc>
          <w:tcPr>
            <w:tcW w:w="1134" w:type="dxa"/>
            <w:vAlign w:val="center"/>
          </w:tcPr>
          <w:p w:rsidR="00A115FA" w:rsidRPr="00233D2C" w:rsidRDefault="00A115FA" w:rsidP="00A115FA">
            <w:pPr>
              <w:tabs>
                <w:tab w:val="left" w:pos="3969"/>
                <w:tab w:val="left" w:pos="6946"/>
              </w:tabs>
              <w:jc w:val="center"/>
              <w:rPr>
                <w:rFonts w:ascii="Times New Roman" w:hAnsi="Times New Roman" w:cs="Times New Roman"/>
                <w:sz w:val="30"/>
                <w:szCs w:val="30"/>
              </w:rPr>
            </w:pPr>
            <w:r w:rsidRPr="00233D2C">
              <w:rPr>
                <w:rFonts w:ascii="Times New Roman" w:hAnsi="Times New Roman" w:cs="Times New Roman"/>
                <w:sz w:val="30"/>
                <w:szCs w:val="30"/>
              </w:rPr>
              <w:t>120</w:t>
            </w:r>
          </w:p>
        </w:tc>
        <w:tc>
          <w:tcPr>
            <w:tcW w:w="709" w:type="dxa"/>
            <w:vAlign w:val="center"/>
          </w:tcPr>
          <w:p w:rsidR="00A115FA" w:rsidRPr="00233D2C" w:rsidRDefault="00A115FA" w:rsidP="00A115FA">
            <w:pPr>
              <w:tabs>
                <w:tab w:val="left" w:pos="3969"/>
                <w:tab w:val="left" w:pos="6946"/>
              </w:tabs>
              <w:jc w:val="center"/>
              <w:rPr>
                <w:rFonts w:ascii="Times New Roman" w:hAnsi="Times New Roman" w:cs="Times New Roman"/>
                <w:sz w:val="30"/>
                <w:szCs w:val="30"/>
              </w:rPr>
            </w:pPr>
            <w:r w:rsidRPr="00233D2C">
              <w:rPr>
                <w:rFonts w:ascii="Times New Roman" w:hAnsi="Times New Roman" w:cs="Times New Roman"/>
                <w:sz w:val="30"/>
                <w:szCs w:val="30"/>
              </w:rPr>
              <w:t>110</w:t>
            </w:r>
          </w:p>
        </w:tc>
        <w:tc>
          <w:tcPr>
            <w:tcW w:w="709" w:type="dxa"/>
            <w:vAlign w:val="center"/>
          </w:tcPr>
          <w:p w:rsidR="00A115FA" w:rsidRPr="00233D2C" w:rsidRDefault="00A115FA" w:rsidP="00A115FA">
            <w:pPr>
              <w:tabs>
                <w:tab w:val="left" w:pos="3969"/>
                <w:tab w:val="left" w:pos="6946"/>
              </w:tabs>
              <w:jc w:val="center"/>
              <w:rPr>
                <w:rFonts w:ascii="Times New Roman" w:hAnsi="Times New Roman" w:cs="Times New Roman"/>
                <w:sz w:val="30"/>
                <w:szCs w:val="30"/>
              </w:rPr>
            </w:pPr>
            <w:r w:rsidRPr="00233D2C">
              <w:rPr>
                <w:rFonts w:ascii="Times New Roman" w:hAnsi="Times New Roman" w:cs="Times New Roman"/>
                <w:sz w:val="30"/>
                <w:szCs w:val="30"/>
              </w:rPr>
              <w:t>115</w:t>
            </w:r>
          </w:p>
        </w:tc>
        <w:tc>
          <w:tcPr>
            <w:tcW w:w="850"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122</w:t>
            </w:r>
          </w:p>
        </w:tc>
        <w:tc>
          <w:tcPr>
            <w:tcW w:w="709" w:type="dxa"/>
            <w:tcBorders>
              <w:righ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122</w:t>
            </w:r>
          </w:p>
        </w:tc>
        <w:tc>
          <w:tcPr>
            <w:tcW w:w="850" w:type="dxa"/>
            <w:tcBorders>
              <w:lef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118</w:t>
            </w:r>
          </w:p>
        </w:tc>
      </w:tr>
      <w:tr w:rsidR="00A115FA" w:rsidRPr="00233D2C" w:rsidTr="00A115FA">
        <w:tc>
          <w:tcPr>
            <w:tcW w:w="4678" w:type="dxa"/>
          </w:tcPr>
          <w:p w:rsidR="00A115FA" w:rsidRPr="00233D2C" w:rsidRDefault="00A115FA" w:rsidP="00A115FA">
            <w:pPr>
              <w:rPr>
                <w:rFonts w:ascii="Times New Roman" w:hAnsi="Times New Roman" w:cs="Times New Roman"/>
                <w:sz w:val="30"/>
                <w:szCs w:val="30"/>
              </w:rPr>
            </w:pPr>
            <w:r w:rsidRPr="00233D2C">
              <w:rPr>
                <w:rStyle w:val="tlid-translation"/>
                <w:rFonts w:ascii="Times New Roman" w:hAnsi="Times New Roman" w:cs="Times New Roman"/>
                <w:sz w:val="30"/>
                <w:szCs w:val="30"/>
              </w:rPr>
              <w:t>Relative elongation at break,%, not less</w:t>
            </w:r>
            <w:r w:rsidRPr="00233D2C">
              <w:rPr>
                <w:rFonts w:ascii="Times New Roman" w:hAnsi="Times New Roman" w:cs="Times New Roman"/>
                <w:sz w:val="30"/>
                <w:szCs w:val="30"/>
              </w:rPr>
              <w:t xml:space="preserve">, </w:t>
            </w:r>
            <w:r w:rsidRPr="00233D2C">
              <w:rPr>
                <w:rStyle w:val="tlid-translation"/>
                <w:rFonts w:ascii="Times New Roman" w:hAnsi="Times New Roman" w:cs="Times New Roman"/>
                <w:sz w:val="30"/>
                <w:szCs w:val="30"/>
              </w:rPr>
              <w:t xml:space="preserve"> </w:t>
            </w:r>
          </w:p>
        </w:tc>
        <w:tc>
          <w:tcPr>
            <w:tcW w:w="1134"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410</w:t>
            </w:r>
          </w:p>
        </w:tc>
        <w:tc>
          <w:tcPr>
            <w:tcW w:w="709"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400</w:t>
            </w:r>
          </w:p>
        </w:tc>
        <w:tc>
          <w:tcPr>
            <w:tcW w:w="709"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390</w:t>
            </w:r>
          </w:p>
        </w:tc>
        <w:tc>
          <w:tcPr>
            <w:tcW w:w="850"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405</w:t>
            </w:r>
          </w:p>
        </w:tc>
        <w:tc>
          <w:tcPr>
            <w:tcW w:w="709" w:type="dxa"/>
            <w:tcBorders>
              <w:righ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41</w:t>
            </w:r>
            <w:r w:rsidRPr="00233D2C">
              <w:rPr>
                <w:rFonts w:ascii="Times New Roman" w:hAnsi="Times New Roman" w:cs="Times New Roman"/>
                <w:b/>
                <w:sz w:val="30"/>
                <w:szCs w:val="30"/>
              </w:rPr>
              <w:t>5</w:t>
            </w:r>
          </w:p>
        </w:tc>
        <w:tc>
          <w:tcPr>
            <w:tcW w:w="850" w:type="dxa"/>
            <w:tcBorders>
              <w:lef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420</w:t>
            </w:r>
          </w:p>
        </w:tc>
      </w:tr>
      <w:tr w:rsidR="00A115FA" w:rsidRPr="00233D2C" w:rsidTr="00A115FA">
        <w:tc>
          <w:tcPr>
            <w:tcW w:w="4678" w:type="dxa"/>
          </w:tcPr>
          <w:p w:rsidR="00A115FA" w:rsidRPr="00233D2C" w:rsidRDefault="00A115FA" w:rsidP="00A115FA">
            <w:pPr>
              <w:rPr>
                <w:rFonts w:ascii="Times New Roman" w:hAnsi="Times New Roman" w:cs="Times New Roman"/>
                <w:sz w:val="30"/>
                <w:szCs w:val="30"/>
              </w:rPr>
            </w:pPr>
            <w:r w:rsidRPr="00233D2C">
              <w:rPr>
                <w:rStyle w:val="tlid-translation"/>
                <w:rFonts w:ascii="Times New Roman" w:hAnsi="Times New Roman" w:cs="Times New Roman"/>
                <w:sz w:val="30"/>
                <w:szCs w:val="30"/>
              </w:rPr>
              <w:t>Shore A hardness, arb. ed</w:t>
            </w:r>
            <w:r w:rsidRPr="00233D2C">
              <w:rPr>
                <w:rFonts w:ascii="Times New Roman" w:hAnsi="Times New Roman" w:cs="Times New Roman"/>
                <w:sz w:val="30"/>
                <w:szCs w:val="30"/>
              </w:rPr>
              <w:t xml:space="preserve"> </w:t>
            </w:r>
            <w:r w:rsidRPr="00233D2C">
              <w:rPr>
                <w:rFonts w:ascii="Times New Roman" w:hAnsi="Times New Roman" w:cs="Times New Roman"/>
                <w:sz w:val="30"/>
                <w:szCs w:val="30"/>
                <w:lang w:val="ru-RU"/>
              </w:rPr>
              <w:t>не</w:t>
            </w:r>
            <w:r w:rsidRPr="00233D2C">
              <w:rPr>
                <w:rFonts w:ascii="Times New Roman" w:hAnsi="Times New Roman" w:cs="Times New Roman"/>
                <w:sz w:val="30"/>
                <w:szCs w:val="30"/>
              </w:rPr>
              <w:t xml:space="preserve"> </w:t>
            </w:r>
            <w:r w:rsidRPr="00233D2C">
              <w:rPr>
                <w:rFonts w:ascii="Times New Roman" w:hAnsi="Times New Roman" w:cs="Times New Roman"/>
                <w:sz w:val="30"/>
                <w:szCs w:val="30"/>
                <w:lang w:val="ru-RU"/>
              </w:rPr>
              <w:t>менее</w:t>
            </w:r>
            <w:r w:rsidRPr="00233D2C">
              <w:rPr>
                <w:rFonts w:ascii="Times New Roman" w:hAnsi="Times New Roman" w:cs="Times New Roman"/>
                <w:sz w:val="30"/>
                <w:szCs w:val="30"/>
              </w:rPr>
              <w:t xml:space="preserve"> </w:t>
            </w:r>
          </w:p>
        </w:tc>
        <w:tc>
          <w:tcPr>
            <w:tcW w:w="1134"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77</w:t>
            </w:r>
          </w:p>
        </w:tc>
        <w:tc>
          <w:tcPr>
            <w:tcW w:w="709"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78</w:t>
            </w:r>
          </w:p>
        </w:tc>
        <w:tc>
          <w:tcPr>
            <w:tcW w:w="709"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79</w:t>
            </w:r>
          </w:p>
        </w:tc>
        <w:tc>
          <w:tcPr>
            <w:tcW w:w="850" w:type="dxa"/>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80</w:t>
            </w:r>
          </w:p>
        </w:tc>
        <w:tc>
          <w:tcPr>
            <w:tcW w:w="709" w:type="dxa"/>
            <w:tcBorders>
              <w:righ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79</w:t>
            </w:r>
          </w:p>
        </w:tc>
        <w:tc>
          <w:tcPr>
            <w:tcW w:w="850" w:type="dxa"/>
            <w:tcBorders>
              <w:left w:val="single" w:sz="4" w:space="0" w:color="auto"/>
            </w:tcBorders>
            <w:vAlign w:val="center"/>
          </w:tcPr>
          <w:p w:rsidR="00A115FA" w:rsidRPr="00233D2C" w:rsidRDefault="00A115FA" w:rsidP="00A115FA">
            <w:pPr>
              <w:jc w:val="center"/>
              <w:rPr>
                <w:rFonts w:ascii="Times New Roman" w:hAnsi="Times New Roman" w:cs="Times New Roman"/>
                <w:sz w:val="30"/>
                <w:szCs w:val="30"/>
              </w:rPr>
            </w:pPr>
            <w:r w:rsidRPr="00233D2C">
              <w:rPr>
                <w:rFonts w:ascii="Times New Roman" w:hAnsi="Times New Roman" w:cs="Times New Roman"/>
                <w:sz w:val="30"/>
                <w:szCs w:val="30"/>
              </w:rPr>
              <w:t>77</w:t>
            </w:r>
          </w:p>
        </w:tc>
      </w:tr>
    </w:tbl>
    <w:p w:rsidR="00A115FA" w:rsidRPr="00233D2C" w:rsidRDefault="008872CD" w:rsidP="00A115FA">
      <w:pPr>
        <w:jc w:val="both"/>
        <w:rPr>
          <w:rFonts w:ascii="Times New Roman" w:hAnsi="Times New Roman" w:cs="Times New Roman"/>
          <w:noProof/>
          <w:sz w:val="30"/>
          <w:szCs w:val="30"/>
        </w:rPr>
      </w:pPr>
      <w:r>
        <w:rPr>
          <w:rFonts w:ascii="Times New Roman" w:hAnsi="Times New Roman" w:cs="Times New Roman"/>
          <w:noProof/>
          <w:sz w:val="30"/>
          <w:szCs w:val="30"/>
          <w:lang w:val="ru-RU" w:eastAsia="ru-RU" w:bidi="ar-SA"/>
        </w:rPr>
        <w:drawing>
          <wp:inline distT="0" distB="0" distL="0" distR="0">
            <wp:extent cx="6182360" cy="2224405"/>
            <wp:effectExtent l="0" t="0" r="0" b="0"/>
            <wp:docPr id="41"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115FA" w:rsidRPr="00233D2C" w:rsidRDefault="00A115FA" w:rsidP="00A115FA">
      <w:pPr>
        <w:ind w:firstLine="724"/>
        <w:jc w:val="both"/>
        <w:rPr>
          <w:rStyle w:val="tlid-translation"/>
          <w:rFonts w:ascii="Times New Roman" w:hAnsi="Times New Roman" w:cs="Times New Roman"/>
          <w:sz w:val="30"/>
          <w:szCs w:val="30"/>
          <w:lang w:val="kk-KZ"/>
        </w:rPr>
      </w:pPr>
      <w:proofErr w:type="gramStart"/>
      <w:r w:rsidRPr="00233D2C">
        <w:rPr>
          <w:rStyle w:val="tlid-translation"/>
          <w:rFonts w:ascii="Times New Roman" w:hAnsi="Times New Roman" w:cs="Times New Roman"/>
          <w:sz w:val="30"/>
          <w:szCs w:val="30"/>
        </w:rPr>
        <w:t>Figure 2.</w:t>
      </w:r>
      <w:proofErr w:type="gramEnd"/>
      <w:r w:rsidRPr="00233D2C">
        <w:rPr>
          <w:rStyle w:val="tlid-translation"/>
          <w:rFonts w:ascii="Times New Roman" w:hAnsi="Times New Roman" w:cs="Times New Roman"/>
          <w:sz w:val="30"/>
          <w:szCs w:val="30"/>
        </w:rPr>
        <w:t xml:space="preserve"> </w:t>
      </w:r>
      <w:proofErr w:type="gramStart"/>
      <w:r w:rsidRPr="00233D2C">
        <w:rPr>
          <w:rStyle w:val="tlid-translation"/>
          <w:rFonts w:ascii="Times New Roman" w:hAnsi="Times New Roman" w:cs="Times New Roman"/>
          <w:sz w:val="30"/>
          <w:szCs w:val="30"/>
        </w:rPr>
        <w:t>Diagram of the physicomechanical properties of rubber for wear-resistant side tape on the content of the mineral part of the sludge PKOP.</w:t>
      </w:r>
      <w:proofErr w:type="gramEnd"/>
      <w:r w:rsidRPr="00233D2C">
        <w:rPr>
          <w:rStyle w:val="tlid-translation"/>
          <w:rFonts w:ascii="Times New Roman" w:hAnsi="Times New Roman" w:cs="Times New Roman"/>
          <w:sz w:val="30"/>
          <w:szCs w:val="30"/>
          <w:lang w:val="kk-KZ"/>
        </w:rPr>
        <w:t xml:space="preserve"> </w:t>
      </w:r>
      <w:r w:rsidRPr="00233D2C">
        <w:rPr>
          <w:rStyle w:val="tlid-translation"/>
          <w:rFonts w:ascii="Times New Roman" w:hAnsi="Times New Roman" w:cs="Times New Roman"/>
          <w:sz w:val="30"/>
          <w:szCs w:val="30"/>
        </w:rPr>
        <w:t>Findings</w:t>
      </w:r>
    </w:p>
    <w:p w:rsidR="00A115FA" w:rsidRPr="00233D2C" w:rsidRDefault="00A115FA" w:rsidP="00A115FA">
      <w:pPr>
        <w:ind w:firstLine="724"/>
        <w:jc w:val="both"/>
        <w:rPr>
          <w:rFonts w:ascii="Times New Roman" w:hAnsi="Times New Roman" w:cs="Times New Roman"/>
          <w:color w:val="auto"/>
          <w:sz w:val="30"/>
          <w:szCs w:val="30"/>
          <w:lang w:val="kk-KZ" w:eastAsia="ru-RU"/>
        </w:rPr>
      </w:pPr>
      <w:r w:rsidRPr="00233D2C">
        <w:rPr>
          <w:rStyle w:val="tlid-translation"/>
          <w:rFonts w:ascii="Times New Roman" w:hAnsi="Times New Roman" w:cs="Times New Roman"/>
          <w:sz w:val="30"/>
          <w:szCs w:val="30"/>
        </w:rPr>
        <w:t xml:space="preserve">Thus, the research results showed the possibility of using rubber compounds for making wear-resistant bead tape as ingredients - organic (softener) and mineral (filler) parts of oil sludge, polymer sulfur PKOP LLP (vulcanizing agent). The conducted studies allow </w:t>
      </w:r>
      <w:proofErr w:type="gramStart"/>
      <w:r w:rsidRPr="00233D2C">
        <w:rPr>
          <w:rStyle w:val="tlid-translation"/>
          <w:rFonts w:ascii="Times New Roman" w:hAnsi="Times New Roman" w:cs="Times New Roman"/>
          <w:sz w:val="30"/>
          <w:szCs w:val="30"/>
        </w:rPr>
        <w:t>to assert</w:t>
      </w:r>
      <w:proofErr w:type="gramEnd"/>
      <w:r w:rsidRPr="00233D2C">
        <w:rPr>
          <w:rStyle w:val="tlid-translation"/>
          <w:rFonts w:ascii="Times New Roman" w:hAnsi="Times New Roman" w:cs="Times New Roman"/>
          <w:sz w:val="30"/>
          <w:szCs w:val="30"/>
        </w:rPr>
        <w:t xml:space="preserve"> that rubber mixtures obtained using the organic and mineral parts of the oil sludge PKOP and polymer sulfur synthesized from gas technical sulfur PKOP LLP are competitive both in their physical and mechanical properties and cost. </w:t>
      </w:r>
      <w:proofErr w:type="gramStart"/>
      <w:r w:rsidRPr="00233D2C">
        <w:rPr>
          <w:rStyle w:val="tlid-translation"/>
          <w:rFonts w:ascii="Times New Roman" w:hAnsi="Times New Roman" w:cs="Times New Roman"/>
          <w:sz w:val="30"/>
          <w:szCs w:val="30"/>
        </w:rPr>
        <w:t>which</w:t>
      </w:r>
      <w:proofErr w:type="gramEnd"/>
      <w:r w:rsidRPr="00233D2C">
        <w:rPr>
          <w:rStyle w:val="tlid-translation"/>
          <w:rFonts w:ascii="Times New Roman" w:hAnsi="Times New Roman" w:cs="Times New Roman"/>
          <w:sz w:val="30"/>
          <w:szCs w:val="30"/>
        </w:rPr>
        <w:t>, in turn, allows us to solve the problems of utilization of oily waste and the rational use of sulfur in the production of rubber products and tires.</w:t>
      </w:r>
    </w:p>
    <w:p w:rsidR="00906B1D" w:rsidRDefault="00906B1D" w:rsidP="00B34391">
      <w:pPr>
        <w:ind w:firstLine="720"/>
        <w:jc w:val="both"/>
        <w:rPr>
          <w:rFonts w:ascii="Times New Roman" w:hAnsi="Times New Roman" w:cs="Times New Roman"/>
          <w:b/>
          <w:color w:val="auto"/>
          <w:sz w:val="28"/>
          <w:szCs w:val="28"/>
        </w:rPr>
      </w:pPr>
      <w:r w:rsidRPr="00906B1D">
        <w:rPr>
          <w:rFonts w:ascii="Times New Roman" w:hAnsi="Times New Roman" w:cs="Times New Roman"/>
          <w:b/>
          <w:color w:val="auto"/>
          <w:sz w:val="28"/>
          <w:szCs w:val="28"/>
        </w:rPr>
        <w:lastRenderedPageBreak/>
        <w:t xml:space="preserve"> </w:t>
      </w:r>
      <w:proofErr w:type="gramStart"/>
      <w:r w:rsidRPr="00906B1D">
        <w:rPr>
          <w:rFonts w:ascii="Times New Roman" w:hAnsi="Times New Roman" w:cs="Times New Roman"/>
          <w:b/>
          <w:color w:val="auto"/>
          <w:sz w:val="28"/>
          <w:szCs w:val="28"/>
        </w:rPr>
        <w:t>INTRODUCTION.</w:t>
      </w:r>
      <w:proofErr w:type="gramEnd"/>
      <w:r w:rsidRPr="00906B1D">
        <w:rPr>
          <w:rFonts w:ascii="Times New Roman" w:hAnsi="Times New Roman" w:cs="Times New Roman"/>
          <w:b/>
          <w:color w:val="auto"/>
          <w:sz w:val="28"/>
          <w:szCs w:val="28"/>
        </w:rPr>
        <w:t xml:space="preserve"> </w:t>
      </w:r>
      <w:proofErr w:type="gramStart"/>
      <w:r w:rsidRPr="00906B1D">
        <w:rPr>
          <w:rFonts w:ascii="Times New Roman" w:hAnsi="Times New Roman" w:cs="Times New Roman"/>
          <w:b/>
          <w:color w:val="auto"/>
          <w:sz w:val="28"/>
          <w:szCs w:val="28"/>
        </w:rPr>
        <w:t>ADVANCES IN SCIENCE AND TECHNOLOGY IN THE FIELD OF PURIFICATION OF INDUSTRIAL WASTE.</w:t>
      </w:r>
      <w:proofErr w:type="gramEnd"/>
    </w:p>
    <w:p w:rsidR="009101BA" w:rsidRDefault="009101BA" w:rsidP="00B34391">
      <w:pPr>
        <w:ind w:firstLine="720"/>
        <w:jc w:val="both"/>
        <w:rPr>
          <w:rFonts w:ascii="Times New Roman" w:hAnsi="Times New Roman" w:cs="Times New Roman"/>
          <w:b/>
          <w:color w:val="auto"/>
          <w:sz w:val="28"/>
          <w:szCs w:val="28"/>
        </w:rPr>
      </w:pPr>
    </w:p>
    <w:bookmarkEnd w:id="3"/>
    <w:p w:rsidR="0006638E" w:rsidRPr="0006638E" w:rsidRDefault="0006638E" w:rsidP="009C6833">
      <w:pPr>
        <w:numPr>
          <w:ilvl w:val="0"/>
          <w:numId w:val="3"/>
        </w:numPr>
        <w:ind w:left="426"/>
        <w:jc w:val="both"/>
        <w:rPr>
          <w:rFonts w:ascii="Times New Roman" w:hAnsi="Times New Roman" w:cs="Times New Roman"/>
          <w:i/>
          <w:sz w:val="28"/>
          <w:szCs w:val="28"/>
          <w:lang w:val="kk-KZ"/>
        </w:rPr>
      </w:pPr>
      <w:r>
        <w:rPr>
          <w:rFonts w:ascii="Times New Roman" w:hAnsi="Times New Roman" w:cs="Times New Roman"/>
          <w:i/>
          <w:sz w:val="28"/>
          <w:szCs w:val="28"/>
        </w:rPr>
        <w:t>W</w:t>
      </w:r>
      <w:r w:rsidRPr="0006638E">
        <w:rPr>
          <w:rFonts w:ascii="Times New Roman" w:hAnsi="Times New Roman" w:cs="Times New Roman"/>
          <w:i/>
          <w:sz w:val="28"/>
          <w:szCs w:val="28"/>
        </w:rPr>
        <w:t>ater treatment technologies</w:t>
      </w:r>
    </w:p>
    <w:p w:rsidR="0006638E" w:rsidRDefault="0006638E" w:rsidP="009C6833">
      <w:pPr>
        <w:numPr>
          <w:ilvl w:val="0"/>
          <w:numId w:val="3"/>
        </w:numPr>
        <w:ind w:left="426"/>
        <w:jc w:val="both"/>
        <w:rPr>
          <w:rFonts w:ascii="Times New Roman" w:hAnsi="Times New Roman" w:cs="Times New Roman"/>
          <w:i/>
          <w:sz w:val="28"/>
          <w:szCs w:val="28"/>
          <w:lang w:val="kk-KZ"/>
        </w:rPr>
      </w:pPr>
      <w:r w:rsidRPr="0006638E">
        <w:rPr>
          <w:rFonts w:ascii="Times New Roman" w:hAnsi="Times New Roman" w:cs="Times New Roman"/>
          <w:i/>
          <w:sz w:val="28"/>
          <w:szCs w:val="28"/>
        </w:rPr>
        <w:t xml:space="preserve">How clean the final water effluent from our plant must be </w:t>
      </w:r>
    </w:p>
    <w:p w:rsidR="0006638E" w:rsidRPr="0006638E" w:rsidRDefault="0006638E" w:rsidP="009C6833">
      <w:pPr>
        <w:numPr>
          <w:ilvl w:val="0"/>
          <w:numId w:val="3"/>
        </w:numPr>
        <w:ind w:left="426"/>
        <w:jc w:val="both"/>
        <w:rPr>
          <w:rFonts w:ascii="Times New Roman" w:hAnsi="Times New Roman" w:cs="Times New Roman"/>
          <w:i/>
          <w:sz w:val="28"/>
          <w:szCs w:val="28"/>
        </w:rPr>
      </w:pPr>
      <w:r w:rsidRPr="0006638E">
        <w:rPr>
          <w:rFonts w:ascii="Times New Roman" w:hAnsi="Times New Roman" w:cs="Times New Roman"/>
          <w:i/>
          <w:sz w:val="28"/>
          <w:szCs w:val="28"/>
        </w:rPr>
        <w:t>The physical, chemical and thermodynamic properties of the solid wastes</w:t>
      </w:r>
    </w:p>
    <w:p w:rsidR="0006638E" w:rsidRPr="0006638E" w:rsidRDefault="0006638E" w:rsidP="00B34391">
      <w:pPr>
        <w:ind w:firstLine="720"/>
        <w:jc w:val="both"/>
        <w:rPr>
          <w:rFonts w:ascii="Times New Roman" w:hAnsi="Times New Roman" w:cs="Times New Roman"/>
          <w:sz w:val="28"/>
          <w:szCs w:val="28"/>
        </w:rPr>
      </w:pPr>
    </w:p>
    <w:p w:rsidR="00A1302B" w:rsidRPr="0006638E" w:rsidRDefault="00A1302B" w:rsidP="00A1302B">
      <w:pPr>
        <w:ind w:left="720"/>
        <w:jc w:val="both"/>
        <w:rPr>
          <w:rFonts w:ascii="Times New Roman" w:hAnsi="Times New Roman" w:cs="Times New Roman"/>
          <w:i/>
          <w:sz w:val="28"/>
          <w:szCs w:val="28"/>
          <w:lang w:val="kk-KZ"/>
        </w:rPr>
      </w:pPr>
      <w:r>
        <w:rPr>
          <w:rFonts w:ascii="Times New Roman" w:hAnsi="Times New Roman" w:cs="Times New Roman"/>
          <w:i/>
          <w:sz w:val="28"/>
          <w:szCs w:val="28"/>
        </w:rPr>
        <w:t>W</w:t>
      </w:r>
      <w:r w:rsidRPr="0006638E">
        <w:rPr>
          <w:rFonts w:ascii="Times New Roman" w:hAnsi="Times New Roman" w:cs="Times New Roman"/>
          <w:i/>
          <w:sz w:val="28"/>
          <w:szCs w:val="28"/>
        </w:rPr>
        <w:t>ater treatment technologies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We may organize water treatment technologies into three general areas: Physical Methods, Chemical Methods, and Energy Intensive Methods. Physical methods of wastewater treatment represent a body of technologies that we refer largely to as solid-liquid separations techniques, of which filtration plays a dominant role. Filtration technology can be broken into two general categories - conventional and non-conventional. This technology is an integral component of drinking water and wastewater treatment applications. It is, however, but one unit process within a modern water treatment plant scheme, whereby there are a multitude of equipment and technology options to select from depending upon the ultimate goals of treatment. To understand the role of filtration, it is important to make distinctions not only with the other technologies employed in the cleaning and purification of industrial and municipal waters, but also with the objectives of different unit processes.</w:t>
      </w:r>
    </w:p>
    <w:p w:rsidR="00A1302B" w:rsidRPr="00B34391" w:rsidRDefault="00A1302B" w:rsidP="00A1302B">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How clean the final water effluent from our plant must be</w:t>
      </w:r>
      <w:r w:rsidRPr="00B34391">
        <w:rPr>
          <w:rFonts w:ascii="Times New Roman" w:hAnsi="Times New Roman" w:cs="Times New Roman"/>
          <w:sz w:val="28"/>
          <w:szCs w:val="28"/>
        </w:rPr>
        <w: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Chemical methods of treatment rely upon the chemical interactions of the contaminants we wish to remove from water, and the application of chemicals that either aid in the separation of contaminants from water, or assist in the destruction or neutralization of harmful effects associated with contaminants. Chemical treatment methods are applied both as stand-alone </w:t>
      </w:r>
      <w:proofErr w:type="gramStart"/>
      <w:r w:rsidRPr="00B34391">
        <w:rPr>
          <w:rFonts w:ascii="Times New Roman" w:hAnsi="Times New Roman" w:cs="Times New Roman"/>
          <w:sz w:val="28"/>
          <w:szCs w:val="28"/>
        </w:rPr>
        <w:t>technologies,</w:t>
      </w:r>
      <w:proofErr w:type="gramEnd"/>
      <w:r w:rsidRPr="00B34391">
        <w:rPr>
          <w:rFonts w:ascii="Times New Roman" w:hAnsi="Times New Roman" w:cs="Times New Roman"/>
          <w:sz w:val="28"/>
          <w:szCs w:val="28"/>
        </w:rPr>
        <w:t xml:space="preserve"> and as an integral part of the treatment process with physical methods.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Among the energy intensive technologies, thermal methods have a dual role in water treatment applications. They can be applied as a means of sterilization, thus providing high quality drinking water, and/or these technologies can be applied to the processing of the solid wastes or sludge, generated from water treatment applications. In the latter cases, thermal methods can be applied in essentially the same manner as they are applied to conditioning water, namely to sterilize sludge contaminated with organic contaminants, and/or these technologies can be applied to volume reduction. Volume reduction is a key step in water treatment operations, because ultimately there is a tradeoff between polluted water and hazardous solid</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Energy intensive technologies include electrochemical techniques, which by and large are applied to drinking water applications. They represent both sterilization and conditioning of water to achieve a palatable quality.</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All three of these technology groups can be combined in water treatment, or they may be used in select combinations depending upon the objectives of water treatment. Among each of the general technology classes, there is a range of both hardware and individual technologies that one may select from. The selection of </w:t>
      </w:r>
      <w:r w:rsidRPr="00B34391">
        <w:rPr>
          <w:rFonts w:ascii="Times New Roman" w:hAnsi="Times New Roman" w:cs="Times New Roman"/>
          <w:sz w:val="28"/>
          <w:szCs w:val="28"/>
        </w:rPr>
        <w:lastRenderedPageBreak/>
        <w:t>not only the proper unit process and hardware from within each technology group, but the optimum combinations of hardware and unit processes from the four groups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 </w:t>
      </w:r>
      <w:r w:rsidRPr="00A1302B">
        <w:rPr>
          <w:rFonts w:ascii="Times New Roman" w:hAnsi="Times New Roman" w:cs="Times New Roman"/>
          <w:i/>
          <w:iCs/>
          <w:sz w:val="28"/>
          <w:szCs w:val="28"/>
        </w:rPr>
        <w:t>How clean the final water effluent from our plant must be</w:t>
      </w:r>
      <w:r w:rsidRPr="00B34391">
        <w:rPr>
          <w:rFonts w:ascii="Times New Roman" w:hAnsi="Times New Roman" w:cs="Times New Roman"/>
          <w:sz w:val="28"/>
          <w:szCs w:val="28"/>
        </w:rPr>
        <w: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 The quantities and nature of the influent water we need to treat;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 The physical and chemical properties of the pollutants we need to remove</w:t>
      </w:r>
    </w:p>
    <w:p w:rsidR="00B34391" w:rsidRPr="0006638E" w:rsidRDefault="00B34391" w:rsidP="00B34391">
      <w:pPr>
        <w:ind w:firstLine="720"/>
        <w:jc w:val="both"/>
        <w:rPr>
          <w:rFonts w:ascii="Times New Roman" w:hAnsi="Times New Roman" w:cs="Times New Roman"/>
          <w:i/>
          <w:sz w:val="28"/>
          <w:szCs w:val="28"/>
        </w:rPr>
      </w:pPr>
      <w:r w:rsidRPr="0006638E">
        <w:rPr>
          <w:rFonts w:ascii="Times New Roman" w:hAnsi="Times New Roman" w:cs="Times New Roman"/>
          <w:i/>
          <w:sz w:val="28"/>
          <w:szCs w:val="28"/>
        </w:rPr>
        <w:t xml:space="preserve"> The physical, chemical and thermodynamic properties of the solid wastes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 cost of treating water, including the cost of treating, processing and</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To understand this better, let us step back and start from a very fundamental viewpoint. All processes are comprised of a number of unit processes, which are in turn made up of unit operations. Unit processes are distinct stages of a manufacturing operation. They each focus on one stage in a series of stages, successfully bringing a product to its final form. In this regard, a wastewater treatment plant, whether industrial, a municipal wastewater treatment facility, or a drinking water purification plant, is no different than, say, a synthetic rubber manufacturing plant or an oil refinery. In the case of a rubber producing plant, various unit processes are applied to making intermediate forms of the product, which ultimately is in a final form of a rubber </w:t>
      </w:r>
      <w:proofErr w:type="gramStart"/>
      <w:r w:rsidRPr="00B34391">
        <w:rPr>
          <w:rFonts w:ascii="Times New Roman" w:hAnsi="Times New Roman" w:cs="Times New Roman"/>
          <w:sz w:val="28"/>
          <w:szCs w:val="28"/>
        </w:rPr>
        <w:t>bale, that</w:t>
      </w:r>
      <w:proofErr w:type="gramEnd"/>
      <w:r w:rsidRPr="00B34391">
        <w:rPr>
          <w:rFonts w:ascii="Times New Roman" w:hAnsi="Times New Roman" w:cs="Times New Roman"/>
          <w:sz w:val="28"/>
          <w:szCs w:val="28"/>
        </w:rPr>
        <w:t xml:space="preserve"> is sold to the consumer. The individual unit processes in this case are comprised of: (1) a catalyst reparation stage - a pre-preparation stage for monomers and catalyst additives; (2) polymerization - where an intermediate stage of the product is synthesized in the form of a latex or polymer suspended as a dilute solution in a hydrocarbon diluent; (3) followed by finishing - where the rubber is dried, residual diluent is removed and recovered, and the rubber is dried and compressed into a bale and packaged for sale. Each of these unit process operations are in turn comprised of individual unit operations, whereby a particular technology or group pf technologies are applied, which, in turn, define a piece of equipment that is used along the production line. Drinking water and wastewater treatment plants are essentially no different. There are individual unit processes that comprise each of these types of plants that are applied in a succession of operations, with each stage aimed at improving the quality of the water as established by a set of product-performance criteria. The criteria focuses on the quality of the final water, which in the case of drinking water is established based upon legal criteria (e.g., the Safe Drinking Water Act, SDWA), and if non-potable or process plant water, may be operational criteria (e.g., non- brackish waters to prevent scaling of heat exchange equipment).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 number and complexity of unit processes and in turn unit operations comprising a water purification or wastewater treatment facility are functions of the legal and operational requirements of the treated water, the nature and degree of contamination of the incoming water (raw water to the plant), and the quantities of water to be processed. This means then, that water treatment facilities from a design and operational standpoints vary, but they do rely on overlapping and even identical unit processes.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If we start with the first technology group, then filtration should be thought of as both a unit process and a unit operation within a water treatment facility. As a separate unit process, its objective is quite clear: namely, to remove suspended </w:t>
      </w:r>
      <w:r w:rsidRPr="00B34391">
        <w:rPr>
          <w:rFonts w:ascii="Times New Roman" w:hAnsi="Times New Roman" w:cs="Times New Roman"/>
          <w:sz w:val="28"/>
          <w:szCs w:val="28"/>
        </w:rPr>
        <w:lastRenderedPageBreak/>
        <w:t>solids. When we combine this technology with chemical methods and apply sedimentation and clarification (other physical separation methods), we can extend the technology to removing dissolved particulate matter as well. The particulate matter may be biological, microbial or chemical in nature. As such, the operation stands alone within its own block within the overall manufacturing train of the plant. Examples of this would be the roughening and polishing stages of water treatment. In turn, we may select or specify specific pieces of filtration equipment for these unit processes.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The above gives </w:t>
      </w:r>
      <w:proofErr w:type="gramStart"/>
      <w:r w:rsidRPr="00B34391">
        <w:rPr>
          <w:rFonts w:ascii="Times New Roman" w:hAnsi="Times New Roman" w:cs="Times New Roman"/>
          <w:sz w:val="28"/>
          <w:szCs w:val="28"/>
        </w:rPr>
        <w:t>us</w:t>
      </w:r>
      <w:proofErr w:type="gramEnd"/>
      <w:r w:rsidRPr="00B34391">
        <w:rPr>
          <w:rFonts w:ascii="Times New Roman" w:hAnsi="Times New Roman" w:cs="Times New Roman"/>
          <w:sz w:val="28"/>
          <w:szCs w:val="28"/>
        </w:rPr>
        <w:t xml:space="preserve"> somewhat of an idea of the potential complexity of choosing the optimum group of technologies and hardware needed in treating water. To develop a cost-effective design, we need to understand not only what each of the unit processes are, but obtain a working knowledge of the operating basis and ranges for the individual hardware. That, indeed, is the objective of this book; namely, to take a close look at the equipment options available to us in each technology group, but not individually. Rather, to achieve an integrated and well thought out design, we need to understand how unit processes and unit operations compliment each other in the overall design.</w:t>
      </w:r>
    </w:p>
    <w:p w:rsidR="0006638E" w:rsidRDefault="00B34391" w:rsidP="00A1302B">
      <w:pPr>
        <w:ind w:firstLine="720"/>
        <w:jc w:val="both"/>
        <w:rPr>
          <w:rFonts w:ascii="Times New Roman" w:hAnsi="Times New Roman" w:cs="Times New Roman"/>
          <w:sz w:val="28"/>
          <w:szCs w:val="28"/>
          <w:lang w:val="kk-KZ"/>
        </w:rPr>
      </w:pPr>
      <w:r w:rsidRPr="00B34391">
        <w:rPr>
          <w:rFonts w:ascii="Times New Roman" w:hAnsi="Times New Roman" w:cs="Times New Roman"/>
          <w:sz w:val="28"/>
          <w:szCs w:val="28"/>
        </w:rPr>
        <w:t xml:space="preserve">This first chapter is for orientation purposes. Its objectives are to provide an overview of water treatment and purification roles and technologies, and to introduce terminology that will assist you in understanding the relation of the various technologies to the overall schemes employed in waster treatment applications. Recommended resources that you can refer to for more in-depth information are included at the end of each chapter. The </w:t>
      </w:r>
      <w:proofErr w:type="gramStart"/>
      <w:r w:rsidRPr="00B34391">
        <w:rPr>
          <w:rFonts w:ascii="Times New Roman" w:hAnsi="Times New Roman" w:cs="Times New Roman"/>
          <w:sz w:val="28"/>
          <w:szCs w:val="28"/>
        </w:rPr>
        <w:t>organization of these resources are</w:t>
      </w:r>
      <w:proofErr w:type="gramEnd"/>
      <w:r w:rsidRPr="00B34391">
        <w:rPr>
          <w:rFonts w:ascii="Times New Roman" w:hAnsi="Times New Roman" w:cs="Times New Roman"/>
          <w:sz w:val="28"/>
          <w:szCs w:val="28"/>
        </w:rPr>
        <w:t xml:space="preserve"> generally provided by subject matter. Also, you will find a section for the student at the end of each chapter that provides a list of Questions for Thinking and Discussing. These will assist in reinforcing some of the principles and concepts presented in each chapter, if the book is used as a primary or supplement textbook. We should recognize that the technology options for water treatment are great, and quite often the challenge lies with the selection of the most cost-effective combinations of unit processes and operations. </w:t>
      </w:r>
    </w:p>
    <w:p w:rsidR="0006638E" w:rsidRDefault="0006638E" w:rsidP="0006638E">
      <w:pPr>
        <w:pStyle w:val="af1"/>
        <w:rPr>
          <w:rFonts w:ascii="Times New Roman" w:hAnsi="Times New Roman" w:cs="Times New Roman"/>
          <w:lang w:val="kk-KZ"/>
        </w:rPr>
      </w:pPr>
    </w:p>
    <w:p w:rsidR="000C05D1" w:rsidRPr="006376E4" w:rsidRDefault="000C05D1"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8872CD" w:rsidRPr="006376E4" w:rsidRDefault="008872CD" w:rsidP="008B3A59">
      <w:pPr>
        <w:ind w:firstLine="720"/>
        <w:jc w:val="both"/>
        <w:rPr>
          <w:rFonts w:ascii="Times New Roman" w:hAnsi="Times New Roman" w:cs="Times New Roman"/>
          <w:sz w:val="28"/>
          <w:szCs w:val="28"/>
        </w:rPr>
      </w:pPr>
    </w:p>
    <w:p w:rsidR="008872CD" w:rsidRPr="006376E4" w:rsidRDefault="008872CD"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9101BA" w:rsidRPr="006376E4" w:rsidRDefault="009101BA" w:rsidP="008B3A59">
      <w:pPr>
        <w:ind w:firstLine="720"/>
        <w:jc w:val="both"/>
        <w:rPr>
          <w:rFonts w:ascii="Times New Roman" w:hAnsi="Times New Roman" w:cs="Times New Roman"/>
          <w:sz w:val="28"/>
          <w:szCs w:val="28"/>
        </w:rPr>
      </w:pPr>
    </w:p>
    <w:p w:rsidR="000C05D1" w:rsidRDefault="000C05D1" w:rsidP="008B3A59">
      <w:pPr>
        <w:ind w:firstLine="720"/>
        <w:jc w:val="both"/>
        <w:rPr>
          <w:rFonts w:ascii="Times New Roman" w:hAnsi="Times New Roman" w:cs="Times New Roman"/>
          <w:sz w:val="28"/>
          <w:szCs w:val="28"/>
        </w:rPr>
      </w:pPr>
    </w:p>
    <w:p w:rsidR="000C05D1" w:rsidRDefault="000C05D1" w:rsidP="008B3A59">
      <w:pPr>
        <w:ind w:firstLine="720"/>
        <w:jc w:val="both"/>
        <w:rPr>
          <w:rFonts w:ascii="Times New Roman" w:hAnsi="Times New Roman" w:cs="Times New Roman"/>
          <w:sz w:val="28"/>
          <w:szCs w:val="28"/>
        </w:rPr>
      </w:pPr>
    </w:p>
    <w:p w:rsidR="000C05D1" w:rsidRPr="00556AA6" w:rsidRDefault="00D425E8" w:rsidP="000C05D1">
      <w:pPr>
        <w:pStyle w:val="1"/>
        <w:shd w:val="clear" w:color="auto" w:fill="FFFFFF"/>
        <w:tabs>
          <w:tab w:val="left" w:pos="900"/>
        </w:tabs>
        <w:spacing w:before="0" w:after="0"/>
        <w:ind w:firstLine="720"/>
        <w:jc w:val="center"/>
        <w:rPr>
          <w:rFonts w:ascii="Times New Roman" w:hAnsi="Times New Roman" w:cs="Times New Roman"/>
          <w:sz w:val="28"/>
          <w:szCs w:val="28"/>
          <w:lang w:val="en-GB"/>
        </w:rPr>
      </w:pPr>
      <w:r w:rsidRPr="00556AA6">
        <w:rPr>
          <w:rFonts w:ascii="Times New Roman" w:hAnsi="Times New Roman" w:cs="Times New Roman"/>
          <w:sz w:val="28"/>
          <w:szCs w:val="28"/>
          <w:lang w:val="en-GB"/>
        </w:rPr>
        <w:lastRenderedPageBreak/>
        <w:t>HEAVY METALS TOXICITY AND THE ENVIRONMENT</w:t>
      </w:r>
    </w:p>
    <w:p w:rsidR="00A11E67" w:rsidRDefault="00A11E67" w:rsidP="000C05D1">
      <w:pPr>
        <w:pStyle w:val="pp-first"/>
        <w:shd w:val="clear" w:color="auto" w:fill="FFFFFF"/>
        <w:tabs>
          <w:tab w:val="left" w:pos="900"/>
        </w:tabs>
        <w:spacing w:before="0" w:beforeAutospacing="0" w:after="0" w:afterAutospacing="0"/>
        <w:ind w:firstLine="720"/>
        <w:jc w:val="both"/>
        <w:rPr>
          <w:sz w:val="28"/>
          <w:szCs w:val="28"/>
          <w:lang w:val="en-GB"/>
        </w:rPr>
      </w:pP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Heavy metals are defined as metallic elements that have a relatively high density compared to water [</w:t>
      </w:r>
      <w:hyperlink r:id="rId32" w:anchor="R1" w:history="1">
        <w:r w:rsidRPr="00556AA6">
          <w:rPr>
            <w:rStyle w:val="ac"/>
            <w:color w:val="auto"/>
            <w:sz w:val="28"/>
            <w:szCs w:val="28"/>
            <w:lang w:val="en-GB"/>
          </w:rPr>
          <w:t>1</w:t>
        </w:r>
      </w:hyperlink>
      <w:r w:rsidRPr="00556AA6">
        <w:rPr>
          <w:sz w:val="28"/>
          <w:szCs w:val="28"/>
          <w:lang w:val="en-GB"/>
        </w:rPr>
        <w:t>]. With the assumption that heaviness and toxicity are inter-related, heavy metals also include metalloids, such as arsenic, that are able to induce toxicity at low level of exposure [</w:t>
      </w:r>
      <w:hyperlink r:id="rId33" w:anchor="R2" w:history="1">
        <w:r w:rsidRPr="00556AA6">
          <w:rPr>
            <w:rStyle w:val="ac"/>
            <w:color w:val="auto"/>
            <w:sz w:val="28"/>
            <w:szCs w:val="28"/>
            <w:lang w:val="en-GB"/>
          </w:rPr>
          <w:t>2</w:t>
        </w:r>
      </w:hyperlink>
      <w:r w:rsidRPr="00556AA6">
        <w:rPr>
          <w:sz w:val="28"/>
          <w:szCs w:val="28"/>
          <w:lang w:val="en-GB"/>
        </w:rPr>
        <w:t>]. In recent years, there has been an increasing ecological and global public health concern associated with environmental contamination by these metals. Also, human exposure has risen dramatically as a result of an exponential increase of their use in several industrial, agricultural, domestic and technological applications [</w:t>
      </w:r>
      <w:hyperlink r:id="rId34" w:anchor="R3" w:history="1">
        <w:r w:rsidRPr="00556AA6">
          <w:rPr>
            <w:rStyle w:val="ac"/>
            <w:color w:val="auto"/>
            <w:sz w:val="28"/>
            <w:szCs w:val="28"/>
            <w:lang w:val="en-GB"/>
          </w:rPr>
          <w:t>3</w:t>
        </w:r>
      </w:hyperlink>
      <w:r w:rsidRPr="00556AA6">
        <w:rPr>
          <w:sz w:val="28"/>
          <w:szCs w:val="28"/>
          <w:lang w:val="en-GB"/>
        </w:rPr>
        <w:t>]. Reported sources of heavy metals in the environment include geogenic, industrial, agricultural, pharmaceutical, domestic effluents, and atmospheric sources [</w:t>
      </w:r>
      <w:hyperlink r:id="rId35" w:anchor="R4" w:history="1">
        <w:r w:rsidRPr="00556AA6">
          <w:rPr>
            <w:rStyle w:val="ac"/>
            <w:color w:val="auto"/>
            <w:sz w:val="28"/>
            <w:szCs w:val="28"/>
            <w:lang w:val="en-GB"/>
          </w:rPr>
          <w:t>4</w:t>
        </w:r>
      </w:hyperlink>
      <w:r w:rsidRPr="00556AA6">
        <w:rPr>
          <w:sz w:val="28"/>
          <w:szCs w:val="28"/>
          <w:lang w:val="en-GB"/>
        </w:rPr>
        <w:t>]. Environmental pollution is very prominent in point source areas such as mining, foundries and smelters, and other metal-based industrial operations [</w:t>
      </w:r>
      <w:hyperlink r:id="rId36" w:anchor="R1" w:history="1">
        <w:r w:rsidRPr="00556AA6">
          <w:rPr>
            <w:rStyle w:val="ac"/>
            <w:color w:val="auto"/>
            <w:sz w:val="28"/>
            <w:szCs w:val="28"/>
            <w:lang w:val="en-GB"/>
          </w:rPr>
          <w:t>1</w:t>
        </w:r>
      </w:hyperlink>
      <w:r w:rsidRPr="00556AA6">
        <w:rPr>
          <w:sz w:val="28"/>
          <w:szCs w:val="28"/>
          <w:lang w:val="en-GB"/>
        </w:rPr>
        <w:t>, </w:t>
      </w:r>
      <w:hyperlink r:id="rId37" w:anchor="R3" w:history="1">
        <w:r w:rsidRPr="00556AA6">
          <w:rPr>
            <w:rStyle w:val="ac"/>
            <w:color w:val="auto"/>
            <w:sz w:val="28"/>
            <w:szCs w:val="28"/>
            <w:lang w:val="en-GB"/>
          </w:rPr>
          <w:t>3</w:t>
        </w:r>
      </w:hyperlink>
      <w:r w:rsidRPr="00556AA6">
        <w:rPr>
          <w:sz w:val="28"/>
          <w:szCs w:val="28"/>
          <w:lang w:val="en-GB"/>
        </w:rPr>
        <w:t>, </w:t>
      </w:r>
      <w:hyperlink r:id="rId38" w:anchor="R4" w:history="1">
        <w:proofErr w:type="gramStart"/>
        <w:r w:rsidRPr="00556AA6">
          <w:rPr>
            <w:rStyle w:val="ac"/>
            <w:color w:val="auto"/>
            <w:sz w:val="28"/>
            <w:szCs w:val="28"/>
            <w:lang w:val="en-GB"/>
          </w:rPr>
          <w:t>4</w:t>
        </w:r>
        <w:proofErr w:type="gramEnd"/>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Although heavy metals are naturally occurring elements that are found throughout the earth’s crust, most environmental contamination and human exposure result from anthropogenic activities such as mining and smelting operations, industrial production and use, and domestic and agricultural use of metals and metal-containing compounds [</w:t>
      </w:r>
      <w:hyperlink r:id="rId39" w:anchor="R4" w:history="1">
        <w:r w:rsidRPr="00556AA6">
          <w:rPr>
            <w:rStyle w:val="ac"/>
            <w:color w:val="auto"/>
            <w:sz w:val="28"/>
            <w:szCs w:val="28"/>
            <w:lang w:val="en-GB"/>
          </w:rPr>
          <w:t>4</w:t>
        </w:r>
      </w:hyperlink>
      <w:r w:rsidRPr="00556AA6">
        <w:rPr>
          <w:sz w:val="28"/>
          <w:szCs w:val="28"/>
          <w:lang w:val="en-GB"/>
        </w:rPr>
        <w:t>–</w:t>
      </w:r>
      <w:hyperlink r:id="rId40" w:anchor="R7" w:history="1">
        <w:r w:rsidRPr="00556AA6">
          <w:rPr>
            <w:rStyle w:val="ac"/>
            <w:color w:val="auto"/>
            <w:sz w:val="28"/>
            <w:szCs w:val="28"/>
            <w:lang w:val="en-GB"/>
          </w:rPr>
          <w:t>7</w:t>
        </w:r>
      </w:hyperlink>
      <w:r w:rsidRPr="00556AA6">
        <w:rPr>
          <w:sz w:val="28"/>
          <w:szCs w:val="28"/>
          <w:lang w:val="en-GB"/>
        </w:rPr>
        <w:t>]. Environmental contamination can also occur through metal corrosion, atmospheric deposition, soil erosion of metal ions and leaching of heavy metals, sediment re-suspension and metal evaporation from water resources to soil and ground water [</w:t>
      </w:r>
      <w:hyperlink r:id="rId41" w:anchor="R8" w:history="1">
        <w:r w:rsidRPr="00556AA6">
          <w:rPr>
            <w:rStyle w:val="ac"/>
            <w:color w:val="auto"/>
            <w:sz w:val="28"/>
            <w:szCs w:val="28"/>
            <w:lang w:val="en-GB"/>
          </w:rPr>
          <w:t>8</w:t>
        </w:r>
      </w:hyperlink>
      <w:r w:rsidRPr="00556AA6">
        <w:rPr>
          <w:sz w:val="28"/>
          <w:szCs w:val="28"/>
          <w:lang w:val="en-GB"/>
        </w:rPr>
        <w:t>]. Natural phenomena such as weathering and volcanic eruptions have also been reported to significantly contribute to heavy metal pollution [</w:t>
      </w:r>
      <w:hyperlink r:id="rId42" w:anchor="R1" w:history="1">
        <w:r w:rsidRPr="00556AA6">
          <w:rPr>
            <w:rStyle w:val="ac"/>
            <w:color w:val="auto"/>
            <w:sz w:val="28"/>
            <w:szCs w:val="28"/>
            <w:lang w:val="en-GB"/>
          </w:rPr>
          <w:t>1</w:t>
        </w:r>
      </w:hyperlink>
      <w:r w:rsidRPr="00556AA6">
        <w:rPr>
          <w:sz w:val="28"/>
          <w:szCs w:val="28"/>
          <w:lang w:val="en-GB"/>
        </w:rPr>
        <w:t>, </w:t>
      </w:r>
      <w:hyperlink r:id="rId43" w:anchor="R3" w:history="1">
        <w:r w:rsidRPr="00556AA6">
          <w:rPr>
            <w:rStyle w:val="ac"/>
            <w:color w:val="auto"/>
            <w:sz w:val="28"/>
            <w:szCs w:val="28"/>
            <w:lang w:val="en-GB"/>
          </w:rPr>
          <w:t>3</w:t>
        </w:r>
      </w:hyperlink>
      <w:r w:rsidRPr="00556AA6">
        <w:rPr>
          <w:sz w:val="28"/>
          <w:szCs w:val="28"/>
          <w:lang w:val="en-GB"/>
        </w:rPr>
        <w:t>, </w:t>
      </w:r>
      <w:hyperlink r:id="rId44" w:anchor="R4" w:history="1">
        <w:r w:rsidRPr="00556AA6">
          <w:rPr>
            <w:rStyle w:val="ac"/>
            <w:color w:val="auto"/>
            <w:sz w:val="28"/>
            <w:szCs w:val="28"/>
            <w:lang w:val="en-GB"/>
          </w:rPr>
          <w:t>4</w:t>
        </w:r>
      </w:hyperlink>
      <w:r w:rsidRPr="00556AA6">
        <w:rPr>
          <w:sz w:val="28"/>
          <w:szCs w:val="28"/>
          <w:lang w:val="en-GB"/>
        </w:rPr>
        <w:t>, </w:t>
      </w:r>
      <w:hyperlink r:id="rId45" w:anchor="R7" w:history="1">
        <w:r w:rsidRPr="00556AA6">
          <w:rPr>
            <w:rStyle w:val="ac"/>
            <w:color w:val="auto"/>
            <w:sz w:val="28"/>
            <w:szCs w:val="28"/>
            <w:lang w:val="en-GB"/>
          </w:rPr>
          <w:t>7</w:t>
        </w:r>
      </w:hyperlink>
      <w:r w:rsidRPr="00556AA6">
        <w:rPr>
          <w:sz w:val="28"/>
          <w:szCs w:val="28"/>
          <w:lang w:val="en-GB"/>
        </w:rPr>
        <w:t>, </w:t>
      </w:r>
      <w:hyperlink r:id="rId46" w:anchor="R8" w:history="1">
        <w:r w:rsidRPr="00556AA6">
          <w:rPr>
            <w:rStyle w:val="ac"/>
            <w:color w:val="auto"/>
            <w:sz w:val="28"/>
            <w:szCs w:val="28"/>
            <w:lang w:val="en-GB"/>
          </w:rPr>
          <w:t>8</w:t>
        </w:r>
      </w:hyperlink>
      <w:r w:rsidRPr="00556AA6">
        <w:rPr>
          <w:sz w:val="28"/>
          <w:szCs w:val="28"/>
          <w:lang w:val="en-GB"/>
        </w:rPr>
        <w:t>]. Industrial sources include metal processing in refineries, coal burning in power plants, petroleum combustion, nuclear power stations and high tension lines, plastics, textiles, microelectronics, wood preservation and paper processing plants [</w:t>
      </w:r>
      <w:hyperlink r:id="rId47" w:anchor="R9" w:history="1">
        <w:r w:rsidRPr="00556AA6">
          <w:rPr>
            <w:rStyle w:val="ac"/>
            <w:color w:val="auto"/>
            <w:sz w:val="28"/>
            <w:szCs w:val="28"/>
            <w:lang w:val="en-GB"/>
          </w:rPr>
          <w:t>9</w:t>
        </w:r>
      </w:hyperlink>
      <w:r w:rsidRPr="00556AA6">
        <w:rPr>
          <w:sz w:val="28"/>
          <w:szCs w:val="28"/>
          <w:lang w:val="en-GB"/>
        </w:rPr>
        <w:t>–</w:t>
      </w:r>
      <w:hyperlink r:id="rId48" w:anchor="R11" w:history="1">
        <w:r w:rsidRPr="00556AA6">
          <w:rPr>
            <w:rStyle w:val="ac"/>
            <w:color w:val="auto"/>
            <w:sz w:val="28"/>
            <w:szCs w:val="28"/>
            <w:lang w:val="en-GB"/>
          </w:rPr>
          <w:t>11</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It has been reported that metals such as cobalt (Co), copper (Cu), chromium (Cr), iron (Fe), magnesium (Mg), manganese (Mn), molybdenum (Mo), nickel (Ni), selenium (Se) and zinc (Zn) are essential nutrients that are required for various biochemical and physiological functions [</w:t>
      </w:r>
      <w:hyperlink r:id="rId49" w:anchor="R12" w:history="1">
        <w:r w:rsidRPr="00556AA6">
          <w:rPr>
            <w:rStyle w:val="ac"/>
            <w:color w:val="auto"/>
            <w:sz w:val="28"/>
            <w:szCs w:val="28"/>
            <w:lang w:val="en-GB"/>
          </w:rPr>
          <w:t>12</w:t>
        </w:r>
      </w:hyperlink>
      <w:r w:rsidRPr="00556AA6">
        <w:rPr>
          <w:sz w:val="28"/>
          <w:szCs w:val="28"/>
          <w:lang w:val="en-GB"/>
        </w:rPr>
        <w:t>]. Inadequate supply of these micro-nutrients results in a variety of deficiency diseases or syndromes [</w:t>
      </w:r>
      <w:hyperlink r:id="rId50" w:anchor="R12" w:history="1">
        <w:r w:rsidRPr="00556AA6">
          <w:rPr>
            <w:rStyle w:val="ac"/>
            <w:color w:val="auto"/>
            <w:sz w:val="28"/>
            <w:szCs w:val="28"/>
            <w:lang w:val="en-GB"/>
          </w:rPr>
          <w:t>12</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Heavy metals are also considered as trace elements because of their presence in trace concentrations (ppb range to less than 10ppm) in various environmental matrices [</w:t>
      </w:r>
      <w:hyperlink r:id="rId51" w:anchor="R13" w:history="1">
        <w:r w:rsidRPr="00556AA6">
          <w:rPr>
            <w:rStyle w:val="ac"/>
            <w:color w:val="auto"/>
            <w:sz w:val="28"/>
            <w:szCs w:val="28"/>
            <w:lang w:val="en-GB"/>
          </w:rPr>
          <w:t>13</w:t>
        </w:r>
      </w:hyperlink>
      <w:r w:rsidRPr="00556AA6">
        <w:rPr>
          <w:sz w:val="28"/>
          <w:szCs w:val="28"/>
          <w:lang w:val="en-GB"/>
        </w:rPr>
        <w:t>]. Their bioavailability is influenced by physical factors such as temperature, phase association, adsorption and sequestration. It is also affected by chemical factors that influence speciation at thermodynamic equilibrium, complexation kinetics, lipid solubility and octanol/water partition coefficients [</w:t>
      </w:r>
      <w:hyperlink r:id="rId52" w:anchor="R14" w:history="1">
        <w:r w:rsidRPr="00556AA6">
          <w:rPr>
            <w:rStyle w:val="ac"/>
            <w:color w:val="auto"/>
            <w:sz w:val="28"/>
            <w:szCs w:val="28"/>
            <w:lang w:val="en-GB"/>
          </w:rPr>
          <w:t>14</w:t>
        </w:r>
      </w:hyperlink>
      <w:r w:rsidRPr="00556AA6">
        <w:rPr>
          <w:sz w:val="28"/>
          <w:szCs w:val="28"/>
          <w:lang w:val="en-GB"/>
        </w:rPr>
        <w:t>]. Biological factors such as species characteristics, trophic interactions, and biochemical/physiological adaptation, also play an important role [</w:t>
      </w:r>
      <w:hyperlink r:id="rId53" w:anchor="R15" w:history="1">
        <w:r w:rsidRPr="00556AA6">
          <w:rPr>
            <w:rStyle w:val="ac"/>
            <w:color w:val="auto"/>
            <w:sz w:val="28"/>
            <w:szCs w:val="28"/>
            <w:lang w:val="en-GB"/>
          </w:rPr>
          <w:t>15</w:t>
        </w:r>
      </w:hyperlink>
      <w:r w:rsidRPr="00556AA6">
        <w:rPr>
          <w:sz w:val="28"/>
          <w:szCs w:val="28"/>
          <w:lang w:val="en-GB"/>
        </w:rPr>
        <w:t>].</w:t>
      </w:r>
    </w:p>
    <w:p w:rsidR="00D425E8"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essential heavy metals exert biochemical and physiological functions in plants and animals. They are important constituents of several key enzymes and play important roles in various oxidation-reduction reactions [</w:t>
      </w:r>
      <w:hyperlink r:id="rId54" w:anchor="R12" w:history="1">
        <w:r w:rsidRPr="00556AA6">
          <w:rPr>
            <w:rStyle w:val="ac"/>
            <w:color w:val="auto"/>
            <w:sz w:val="28"/>
            <w:szCs w:val="28"/>
            <w:lang w:val="en-GB"/>
          </w:rPr>
          <w:t>12</w:t>
        </w:r>
      </w:hyperlink>
      <w:r w:rsidRPr="00556AA6">
        <w:rPr>
          <w:sz w:val="28"/>
          <w:szCs w:val="28"/>
          <w:lang w:val="en-GB"/>
        </w:rPr>
        <w:t xml:space="preserve">]. Copper for example serves as an essential co-factor for several oxidative stress-related enzymes including catalase, superoxide dismutase, peroxidase, cytochrome c </w:t>
      </w:r>
      <w:r w:rsidRPr="00556AA6">
        <w:rPr>
          <w:sz w:val="28"/>
          <w:szCs w:val="28"/>
          <w:lang w:val="en-GB"/>
        </w:rPr>
        <w:lastRenderedPageBreak/>
        <w:t xml:space="preserve">oxidases, ferroxidases, monoamine oxidase, and dopamine </w:t>
      </w:r>
      <w:r w:rsidRPr="00556AA6">
        <w:rPr>
          <w:sz w:val="28"/>
          <w:szCs w:val="28"/>
        </w:rPr>
        <w:t>β</w:t>
      </w:r>
      <w:r w:rsidRPr="00556AA6">
        <w:rPr>
          <w:sz w:val="28"/>
          <w:szCs w:val="28"/>
          <w:lang w:val="en-GB"/>
        </w:rPr>
        <w:t>-monooxygenase [</w:t>
      </w:r>
      <w:hyperlink r:id="rId55" w:anchor="R16" w:history="1">
        <w:r w:rsidRPr="00556AA6">
          <w:rPr>
            <w:rStyle w:val="ac"/>
            <w:color w:val="auto"/>
            <w:sz w:val="28"/>
            <w:szCs w:val="28"/>
            <w:lang w:val="en-GB"/>
          </w:rPr>
          <w:t>16</w:t>
        </w:r>
      </w:hyperlink>
      <w:r w:rsidRPr="00556AA6">
        <w:rPr>
          <w:sz w:val="28"/>
          <w:szCs w:val="28"/>
          <w:lang w:val="en-GB"/>
        </w:rPr>
        <w:t>–</w:t>
      </w:r>
      <w:hyperlink r:id="rId56" w:anchor="R18" w:history="1">
        <w:r w:rsidRPr="00556AA6">
          <w:rPr>
            <w:rStyle w:val="ac"/>
            <w:color w:val="auto"/>
            <w:sz w:val="28"/>
            <w:szCs w:val="28"/>
            <w:lang w:val="en-GB"/>
          </w:rPr>
          <w:t>18</w:t>
        </w:r>
      </w:hyperlink>
      <w:r w:rsidRPr="00556AA6">
        <w:rPr>
          <w:sz w:val="28"/>
          <w:szCs w:val="28"/>
          <w:lang w:val="en-GB"/>
        </w:rPr>
        <w:t xml:space="preserve">]. Hence, it is an essential nutrient that is incorporated into a number of metalloenzymes involved in hemoglobin formation, carbohydrate metabolism, catecholamine biosynthesis, and cross-linking of collagen, elastin, and hair keratin. The ability of copper to cycle between an oxidized state, </w:t>
      </w:r>
      <w:proofErr w:type="gramStart"/>
      <w:r w:rsidRPr="00556AA6">
        <w:rPr>
          <w:sz w:val="28"/>
          <w:szCs w:val="28"/>
          <w:lang w:val="en-GB"/>
        </w:rPr>
        <w:t>Cu(</w:t>
      </w:r>
      <w:proofErr w:type="gramEnd"/>
      <w:r w:rsidRPr="00556AA6">
        <w:rPr>
          <w:sz w:val="28"/>
          <w:szCs w:val="28"/>
          <w:lang w:val="en-GB"/>
        </w:rPr>
        <w:t>II), and reduced state, Cu(I), is used by cuproenzymes involved in redox reactions [</w:t>
      </w:r>
      <w:hyperlink r:id="rId57" w:anchor="R16" w:history="1">
        <w:r w:rsidRPr="00556AA6">
          <w:rPr>
            <w:rStyle w:val="ac"/>
            <w:color w:val="auto"/>
            <w:sz w:val="28"/>
            <w:szCs w:val="28"/>
            <w:lang w:val="en-GB"/>
          </w:rPr>
          <w:t>16</w:t>
        </w:r>
      </w:hyperlink>
      <w:r w:rsidRPr="00556AA6">
        <w:rPr>
          <w:sz w:val="28"/>
          <w:szCs w:val="28"/>
          <w:lang w:val="en-GB"/>
        </w:rPr>
        <w:t>–</w:t>
      </w:r>
      <w:hyperlink r:id="rId58" w:anchor="R18" w:history="1">
        <w:r w:rsidRPr="00556AA6">
          <w:rPr>
            <w:rStyle w:val="ac"/>
            <w:color w:val="auto"/>
            <w:sz w:val="28"/>
            <w:szCs w:val="28"/>
            <w:lang w:val="en-GB"/>
          </w:rPr>
          <w:t>18</w:t>
        </w:r>
      </w:hyperlink>
      <w:r w:rsidRPr="00556AA6">
        <w:rPr>
          <w:sz w:val="28"/>
          <w:szCs w:val="28"/>
          <w:lang w:val="en-GB"/>
        </w:rPr>
        <w:t xml:space="preserve">]. However, it is this property of copper that also makes it potentially toxic because the transitions between </w:t>
      </w:r>
      <w:proofErr w:type="gramStart"/>
      <w:r w:rsidRPr="00556AA6">
        <w:rPr>
          <w:sz w:val="28"/>
          <w:szCs w:val="28"/>
          <w:lang w:val="en-GB"/>
        </w:rPr>
        <w:t>Cu(</w:t>
      </w:r>
      <w:proofErr w:type="gramEnd"/>
      <w:r w:rsidRPr="00556AA6">
        <w:rPr>
          <w:sz w:val="28"/>
          <w:szCs w:val="28"/>
          <w:lang w:val="en-GB"/>
        </w:rPr>
        <w:t>II) and Cu(I) can result in the generation of superoxide and hydroxyl radicals [</w:t>
      </w:r>
      <w:hyperlink r:id="rId59" w:anchor="R16" w:history="1">
        <w:r w:rsidRPr="00556AA6">
          <w:rPr>
            <w:rStyle w:val="ac"/>
            <w:color w:val="auto"/>
            <w:sz w:val="28"/>
            <w:szCs w:val="28"/>
            <w:lang w:val="en-GB"/>
          </w:rPr>
          <w:t>16</w:t>
        </w:r>
      </w:hyperlink>
      <w:r w:rsidRPr="00556AA6">
        <w:rPr>
          <w:sz w:val="28"/>
          <w:szCs w:val="28"/>
          <w:lang w:val="en-GB"/>
        </w:rPr>
        <w:t>–</w:t>
      </w:r>
      <w:hyperlink r:id="rId60" w:anchor="R19" w:history="1">
        <w:r w:rsidRPr="00556AA6">
          <w:rPr>
            <w:rStyle w:val="ac"/>
            <w:color w:val="auto"/>
            <w:sz w:val="28"/>
            <w:szCs w:val="28"/>
            <w:lang w:val="en-GB"/>
          </w:rPr>
          <w:t>19</w:t>
        </w:r>
      </w:hyperlink>
      <w:r w:rsidRPr="00556AA6">
        <w:rPr>
          <w:sz w:val="28"/>
          <w:szCs w:val="28"/>
          <w:lang w:val="en-GB"/>
        </w:rPr>
        <w:t xml:space="preserve">]. Also, excessive exposure to copper has been linked to cellular damage leading to </w:t>
      </w:r>
      <w:smartTag w:uri="urn:schemas-microsoft-com:office:smarttags" w:element="place">
        <w:smartTag w:uri="urn:schemas-microsoft-com:office:smarttags" w:element="City">
          <w:r w:rsidRPr="00556AA6">
            <w:rPr>
              <w:sz w:val="28"/>
              <w:szCs w:val="28"/>
              <w:lang w:val="en-GB"/>
            </w:rPr>
            <w:t>Wilson</w:t>
          </w:r>
        </w:smartTag>
      </w:smartTag>
      <w:r w:rsidRPr="00556AA6">
        <w:rPr>
          <w:sz w:val="28"/>
          <w:szCs w:val="28"/>
          <w:lang w:val="en-GB"/>
        </w:rPr>
        <w:t xml:space="preserve"> disease in humans [</w:t>
      </w:r>
      <w:hyperlink r:id="rId61" w:anchor="R18" w:history="1">
        <w:r w:rsidRPr="00556AA6">
          <w:rPr>
            <w:rStyle w:val="ac"/>
            <w:color w:val="auto"/>
            <w:sz w:val="28"/>
            <w:szCs w:val="28"/>
            <w:lang w:val="en-GB"/>
          </w:rPr>
          <w:t>18</w:t>
        </w:r>
      </w:hyperlink>
      <w:r w:rsidRPr="00556AA6">
        <w:rPr>
          <w:sz w:val="28"/>
          <w:szCs w:val="28"/>
          <w:lang w:val="en-GB"/>
        </w:rPr>
        <w:t>, </w:t>
      </w:r>
      <w:hyperlink r:id="rId62" w:anchor="R19" w:history="1">
        <w:r w:rsidRPr="00556AA6">
          <w:rPr>
            <w:rStyle w:val="ac"/>
            <w:color w:val="auto"/>
            <w:sz w:val="28"/>
            <w:szCs w:val="28"/>
            <w:lang w:val="en-GB"/>
          </w:rPr>
          <w:t>19</w:t>
        </w:r>
      </w:hyperlink>
      <w:r w:rsidRPr="00556AA6">
        <w:rPr>
          <w:sz w:val="28"/>
          <w:szCs w:val="28"/>
          <w:lang w:val="en-GB"/>
        </w:rPr>
        <w:t xml:space="preserve">]. Similar to copper, several other essential elements are required for biologic </w:t>
      </w:r>
      <w:proofErr w:type="gramStart"/>
      <w:r w:rsidRPr="00556AA6">
        <w:rPr>
          <w:sz w:val="28"/>
          <w:szCs w:val="28"/>
          <w:lang w:val="en-GB"/>
        </w:rPr>
        <w:t>functioning,</w:t>
      </w:r>
      <w:proofErr w:type="gramEnd"/>
      <w:r w:rsidRPr="00556AA6">
        <w:rPr>
          <w:sz w:val="28"/>
          <w:szCs w:val="28"/>
          <w:lang w:val="en-GB"/>
        </w:rPr>
        <w:t xml:space="preserve"> however, an excess amount of such metals produces cellular and tissue damage leading to a variety of adverse effects and human diseases.</w:t>
      </w: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8872CD" w:rsidP="000C05D1">
      <w:pPr>
        <w:pStyle w:val="af3"/>
        <w:shd w:val="clear" w:color="auto" w:fill="FFFFFF"/>
        <w:tabs>
          <w:tab w:val="left" w:pos="900"/>
        </w:tabs>
        <w:spacing w:before="0" w:beforeAutospacing="0" w:after="0" w:afterAutospacing="0"/>
        <w:ind w:firstLine="720"/>
        <w:jc w:val="both"/>
        <w:rPr>
          <w:sz w:val="28"/>
          <w:szCs w:val="28"/>
          <w:lang w:val="en-GB"/>
        </w:rPr>
      </w:pPr>
      <w:r>
        <w:rPr>
          <w:noProof/>
          <w:sz w:val="28"/>
          <w:szCs w:val="28"/>
          <w:lang w:bidi="ar-SA"/>
        </w:rPr>
        <mc:AlternateContent>
          <mc:Choice Requires="wps">
            <w:drawing>
              <wp:anchor distT="0" distB="0" distL="114300" distR="114300" simplePos="0" relativeHeight="251657216" behindDoc="0" locked="0" layoutInCell="1" allowOverlap="1">
                <wp:simplePos x="0" y="0"/>
                <wp:positionH relativeFrom="column">
                  <wp:posOffset>-114300</wp:posOffset>
                </wp:positionH>
                <wp:positionV relativeFrom="paragraph">
                  <wp:posOffset>0</wp:posOffset>
                </wp:positionV>
                <wp:extent cx="6286500" cy="6361430"/>
                <wp:effectExtent l="13335" t="11430" r="5715" b="8890"/>
                <wp:wrapNone/>
                <wp:docPr id="6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361430"/>
                        </a:xfrm>
                        <a:prstGeom prst="rect">
                          <a:avLst/>
                        </a:prstGeom>
                        <a:solidFill>
                          <a:srgbClr val="FFFFFF"/>
                        </a:solidFill>
                        <a:ln w="9525">
                          <a:solidFill>
                            <a:srgbClr val="FFFFFF"/>
                          </a:solidFill>
                          <a:miter lim="800000"/>
                          <a:headEnd/>
                          <a:tailEnd/>
                        </a:ln>
                      </wps:spPr>
                      <wps:txbx>
                        <w:txbxContent>
                          <w:p w:rsidR="00A115FA" w:rsidRDefault="008872CD">
                            <w:r>
                              <w:rPr>
                                <w:noProof/>
                                <w:lang w:val="ru-RU" w:eastAsia="ru-RU" w:bidi="ar-SA"/>
                              </w:rPr>
                              <w:drawing>
                                <wp:inline distT="0" distB="0" distL="0" distR="0">
                                  <wp:extent cx="6100445" cy="6264275"/>
                                  <wp:effectExtent l="0" t="0" r="0" b="3175"/>
                                  <wp:docPr id="34" name="Рисунок 2" descr="ÐÐ°ÑÑÐ¸Ð½ÐºÐ¸ Ð¿Ð¾ Ð·Ð°Ð¿ÑÐ¾ÑÑ Toxic heavy me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Toxic heavy metal"/>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00445" cy="6264275"/>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9pt;margin-top:0;width:495pt;height:500.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" strokecolor="white">
                <v:textbox style="mso-fit-shape-to-text:t">
                  <w:txbxContent>
                    <w:p w:rsidR="00A115FA" w:rsidRDefault="008872CD">
                      <w:r>
                        <w:rPr>
                          <w:noProof/>
                          <w:lang w:val="ru-RU" w:eastAsia="ru-RU" w:bidi="ar-SA"/>
                        </w:rPr>
                        <w:drawing>
                          <wp:inline distT="0" distB="0" distL="0" distR="0">
                            <wp:extent cx="6100445" cy="6264275"/>
                            <wp:effectExtent l="0" t="0" r="0" b="3175"/>
                            <wp:docPr id="34" name="Рисунок 2" descr="ÐÐ°ÑÑÐ¸Ð½ÐºÐ¸ Ð¿Ð¾ Ð·Ð°Ð¿ÑÐ¾ÑÑ Toxic heavy me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Toxic heavy metal"/>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00445" cy="6264275"/>
                                    </a:xfrm>
                                    <a:prstGeom prst="rect">
                                      <a:avLst/>
                                    </a:prstGeom>
                                    <a:noFill/>
                                    <a:ln>
                                      <a:noFill/>
                                    </a:ln>
                                  </pic:spPr>
                                </pic:pic>
                              </a:graphicData>
                            </a:graphic>
                          </wp:inline>
                        </w:drawing>
                      </w:r>
                    </w:p>
                  </w:txbxContent>
                </v:textbox>
              </v:shape>
            </w:pict>
          </mc:Fallback>
        </mc:AlternateContent>
      </w: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 For some including chromium and copper, there is a very narrow range of concentrations between beneficial and toxic effects [</w:t>
      </w:r>
      <w:hyperlink r:id="rId65" w:anchor="R19" w:history="1">
        <w:r w:rsidRPr="00556AA6">
          <w:rPr>
            <w:rStyle w:val="ac"/>
            <w:color w:val="auto"/>
            <w:sz w:val="28"/>
            <w:szCs w:val="28"/>
            <w:lang w:val="en-GB"/>
          </w:rPr>
          <w:t>19</w:t>
        </w:r>
      </w:hyperlink>
      <w:r w:rsidRPr="00556AA6">
        <w:rPr>
          <w:sz w:val="28"/>
          <w:szCs w:val="28"/>
          <w:lang w:val="en-GB"/>
        </w:rPr>
        <w:t>, </w:t>
      </w:r>
      <w:hyperlink r:id="rId66" w:anchor="R20" w:history="1">
        <w:r w:rsidRPr="00556AA6">
          <w:rPr>
            <w:rStyle w:val="ac"/>
            <w:color w:val="auto"/>
            <w:sz w:val="28"/>
            <w:szCs w:val="28"/>
            <w:lang w:val="en-GB"/>
          </w:rPr>
          <w:t>20</w:t>
        </w:r>
      </w:hyperlink>
      <w:r w:rsidRPr="00556AA6">
        <w:rPr>
          <w:sz w:val="28"/>
          <w:szCs w:val="28"/>
          <w:lang w:val="en-GB"/>
        </w:rPr>
        <w:t>]. Other metals such as aluminium (Al), antinomy (Sb), arsenic (As), barium (Ba), beryllium (Be), bismuth (Bi), cadmium (Cd), gallium (Ga), germanium (Ge), gold (Au), indium (In), lead (Pb), lithium (Li), mercury (Hg), nickel (Ni), platinum (Pt), silver (Ag), strontium (Sr), tellurium (Te), thallium (Tl), tin (Sn), titanium (Ti), vanadium (V) and uranium (U) have no established biological functions and are considered as non-essential metals [</w:t>
      </w:r>
      <w:hyperlink r:id="rId67" w:anchor="R20" w:history="1">
        <w:r w:rsidRPr="00556AA6">
          <w:rPr>
            <w:rStyle w:val="ac"/>
            <w:color w:val="auto"/>
            <w:sz w:val="28"/>
            <w:szCs w:val="28"/>
            <w:lang w:val="en-GB"/>
          </w:rPr>
          <w:t>20</w:t>
        </w:r>
      </w:hyperlink>
      <w:r w:rsidRPr="00556AA6">
        <w:rPr>
          <w:sz w:val="28"/>
          <w:szCs w:val="28"/>
          <w:lang w:val="en-GB"/>
        </w:rPr>
        <w:t>].</w:t>
      </w:r>
    </w:p>
    <w:p w:rsidR="00D425E8"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In biological systems, heavy metals have been reported to affect cellular organelles and components such as cell membrane, mitochondrial, lysosome, endoplasmic reticulum, nuclei, and some enzymes involved in metabolism, detoxification, and damage repair [</w:t>
      </w:r>
      <w:hyperlink r:id="rId68" w:anchor="R21" w:history="1">
        <w:r w:rsidRPr="00556AA6">
          <w:rPr>
            <w:rStyle w:val="ac"/>
            <w:color w:val="auto"/>
            <w:sz w:val="28"/>
            <w:szCs w:val="28"/>
            <w:lang w:val="en-GB"/>
          </w:rPr>
          <w:t>21</w:t>
        </w:r>
      </w:hyperlink>
      <w:r w:rsidRPr="00556AA6">
        <w:rPr>
          <w:sz w:val="28"/>
          <w:szCs w:val="28"/>
          <w:lang w:val="en-GB"/>
        </w:rPr>
        <w:t>]. Metal ions have been found to interact with cell components such as DNA and nuclear proteins, causing DNA damage and conformational changes that may lead to cell cycle modulation, carcinogenesis or apoptosis [</w:t>
      </w:r>
      <w:hyperlink r:id="rId69" w:anchor="R20" w:history="1">
        <w:r w:rsidRPr="00556AA6">
          <w:rPr>
            <w:rStyle w:val="ac"/>
            <w:color w:val="auto"/>
            <w:sz w:val="28"/>
            <w:szCs w:val="28"/>
            <w:lang w:val="en-GB"/>
          </w:rPr>
          <w:t>20</w:t>
        </w:r>
      </w:hyperlink>
      <w:r w:rsidRPr="00556AA6">
        <w:rPr>
          <w:sz w:val="28"/>
          <w:szCs w:val="28"/>
          <w:lang w:val="en-GB"/>
        </w:rPr>
        <w:t>–</w:t>
      </w:r>
      <w:hyperlink r:id="rId70" w:anchor="R22" w:history="1">
        <w:r w:rsidRPr="00556AA6">
          <w:rPr>
            <w:rStyle w:val="ac"/>
            <w:color w:val="auto"/>
            <w:sz w:val="28"/>
            <w:szCs w:val="28"/>
            <w:lang w:val="en-GB"/>
          </w:rPr>
          <w:t>22</w:t>
        </w:r>
      </w:hyperlink>
      <w:r w:rsidRPr="00556AA6">
        <w:rPr>
          <w:sz w:val="28"/>
          <w:szCs w:val="28"/>
          <w:lang w:val="en-GB"/>
        </w:rPr>
        <w:t xml:space="preserve">]. Several studies from our laboratory have demonstrated that reactive oxygen species (ROS) production and oxidative stress play a key role in </w:t>
      </w: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D425E8" w:rsidRDefault="00D425E8" w:rsidP="000C05D1">
      <w:pPr>
        <w:pStyle w:val="af3"/>
        <w:shd w:val="clear" w:color="auto" w:fill="FFFFFF"/>
        <w:tabs>
          <w:tab w:val="left" w:pos="900"/>
        </w:tabs>
        <w:spacing w:before="0" w:beforeAutospacing="0" w:after="0" w:afterAutospacing="0"/>
        <w:ind w:firstLine="720"/>
        <w:jc w:val="both"/>
        <w:rPr>
          <w:sz w:val="28"/>
          <w:szCs w:val="28"/>
          <w:lang w:val="en-GB"/>
        </w:rPr>
      </w:pP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toxicity and carcinogenicity of metals such as arsenic [</w:t>
      </w:r>
      <w:hyperlink r:id="rId71" w:anchor="R23" w:history="1">
        <w:r w:rsidRPr="00556AA6">
          <w:rPr>
            <w:rStyle w:val="ac"/>
            <w:color w:val="auto"/>
            <w:sz w:val="28"/>
            <w:szCs w:val="28"/>
            <w:lang w:val="en-GB"/>
          </w:rPr>
          <w:t>23</w:t>
        </w:r>
      </w:hyperlink>
      <w:r w:rsidRPr="00556AA6">
        <w:rPr>
          <w:sz w:val="28"/>
          <w:szCs w:val="28"/>
          <w:lang w:val="en-GB"/>
        </w:rPr>
        <w:t>, </w:t>
      </w:r>
      <w:hyperlink r:id="rId72" w:anchor="R24" w:history="1">
        <w:r w:rsidRPr="00556AA6">
          <w:rPr>
            <w:rStyle w:val="ac"/>
            <w:color w:val="auto"/>
            <w:sz w:val="28"/>
            <w:szCs w:val="28"/>
            <w:lang w:val="en-GB"/>
          </w:rPr>
          <w:t>24</w:t>
        </w:r>
      </w:hyperlink>
      <w:r w:rsidRPr="00556AA6">
        <w:rPr>
          <w:sz w:val="28"/>
          <w:szCs w:val="28"/>
          <w:lang w:val="en-GB"/>
        </w:rPr>
        <w:t>, </w:t>
      </w:r>
      <w:hyperlink r:id="rId73" w:anchor="R25" w:history="1">
        <w:r w:rsidRPr="00556AA6">
          <w:rPr>
            <w:rStyle w:val="ac"/>
            <w:color w:val="auto"/>
            <w:sz w:val="28"/>
            <w:szCs w:val="28"/>
            <w:lang w:val="en-GB"/>
          </w:rPr>
          <w:t>25</w:t>
        </w:r>
      </w:hyperlink>
      <w:r w:rsidRPr="00556AA6">
        <w:rPr>
          <w:sz w:val="28"/>
          <w:szCs w:val="28"/>
          <w:lang w:val="en-GB"/>
        </w:rPr>
        <w:t>], cadmium [</w:t>
      </w:r>
      <w:hyperlink r:id="rId74" w:anchor="R26" w:history="1">
        <w:r w:rsidRPr="00556AA6">
          <w:rPr>
            <w:rStyle w:val="ac"/>
            <w:color w:val="auto"/>
            <w:sz w:val="28"/>
            <w:szCs w:val="28"/>
            <w:lang w:val="en-GB"/>
          </w:rPr>
          <w:t>26</w:t>
        </w:r>
      </w:hyperlink>
      <w:r w:rsidRPr="00556AA6">
        <w:rPr>
          <w:sz w:val="28"/>
          <w:szCs w:val="28"/>
          <w:lang w:val="en-GB"/>
        </w:rPr>
        <w:t>], chromium [</w:t>
      </w:r>
      <w:hyperlink r:id="rId75" w:anchor="R27" w:history="1">
        <w:r w:rsidRPr="00556AA6">
          <w:rPr>
            <w:rStyle w:val="ac"/>
            <w:color w:val="auto"/>
            <w:sz w:val="28"/>
            <w:szCs w:val="28"/>
            <w:lang w:val="en-GB"/>
          </w:rPr>
          <w:t>27</w:t>
        </w:r>
      </w:hyperlink>
      <w:r w:rsidRPr="00556AA6">
        <w:rPr>
          <w:sz w:val="28"/>
          <w:szCs w:val="28"/>
          <w:lang w:val="en-GB"/>
        </w:rPr>
        <w:t>, </w:t>
      </w:r>
      <w:hyperlink r:id="rId76" w:anchor="R28" w:history="1">
        <w:r w:rsidRPr="00556AA6">
          <w:rPr>
            <w:rStyle w:val="ac"/>
            <w:color w:val="auto"/>
            <w:sz w:val="28"/>
            <w:szCs w:val="28"/>
            <w:lang w:val="en-GB"/>
          </w:rPr>
          <w:t>28</w:t>
        </w:r>
      </w:hyperlink>
      <w:r w:rsidRPr="00556AA6">
        <w:rPr>
          <w:sz w:val="28"/>
          <w:szCs w:val="28"/>
          <w:lang w:val="en-GB"/>
        </w:rPr>
        <w:t>], lead [</w:t>
      </w:r>
      <w:hyperlink r:id="rId77" w:anchor="R29" w:history="1">
        <w:r w:rsidRPr="00556AA6">
          <w:rPr>
            <w:rStyle w:val="ac"/>
            <w:color w:val="auto"/>
            <w:sz w:val="28"/>
            <w:szCs w:val="28"/>
            <w:lang w:val="en-GB"/>
          </w:rPr>
          <w:t>29</w:t>
        </w:r>
      </w:hyperlink>
      <w:r w:rsidRPr="00556AA6">
        <w:rPr>
          <w:sz w:val="28"/>
          <w:szCs w:val="28"/>
          <w:lang w:val="en-GB"/>
        </w:rPr>
        <w:t>, </w:t>
      </w:r>
      <w:hyperlink r:id="rId78" w:anchor="R30" w:history="1">
        <w:r w:rsidRPr="00556AA6">
          <w:rPr>
            <w:rStyle w:val="ac"/>
            <w:color w:val="auto"/>
            <w:sz w:val="28"/>
            <w:szCs w:val="28"/>
            <w:lang w:val="en-GB"/>
          </w:rPr>
          <w:t>30</w:t>
        </w:r>
      </w:hyperlink>
      <w:r w:rsidRPr="00556AA6">
        <w:rPr>
          <w:sz w:val="28"/>
          <w:szCs w:val="28"/>
          <w:lang w:val="en-GB"/>
        </w:rPr>
        <w:t>], and mercury [</w:t>
      </w:r>
      <w:hyperlink r:id="rId79" w:anchor="R31" w:history="1">
        <w:r w:rsidRPr="00556AA6">
          <w:rPr>
            <w:rStyle w:val="ac"/>
            <w:color w:val="auto"/>
            <w:sz w:val="28"/>
            <w:szCs w:val="28"/>
            <w:lang w:val="en-GB"/>
          </w:rPr>
          <w:t>31</w:t>
        </w:r>
      </w:hyperlink>
      <w:r w:rsidRPr="00556AA6">
        <w:rPr>
          <w:sz w:val="28"/>
          <w:szCs w:val="28"/>
          <w:lang w:val="en-GB"/>
        </w:rPr>
        <w:t>, </w:t>
      </w:r>
      <w:hyperlink r:id="rId80" w:anchor="R32" w:history="1">
        <w:r w:rsidRPr="00556AA6">
          <w:rPr>
            <w:rStyle w:val="ac"/>
            <w:color w:val="auto"/>
            <w:sz w:val="28"/>
            <w:szCs w:val="28"/>
            <w:lang w:val="en-GB"/>
          </w:rPr>
          <w:t>32</w:t>
        </w:r>
      </w:hyperlink>
      <w:r w:rsidRPr="00556AA6">
        <w:rPr>
          <w:sz w:val="28"/>
          <w:szCs w:val="28"/>
          <w:lang w:val="en-GB"/>
        </w:rPr>
        <w:t xml:space="preserve">]. Because of </w:t>
      </w:r>
      <w:r w:rsidRPr="00556AA6">
        <w:rPr>
          <w:sz w:val="28"/>
          <w:szCs w:val="28"/>
          <w:lang w:val="en-GB"/>
        </w:rPr>
        <w:lastRenderedPageBreak/>
        <w:t>their high degree of toxicity, these five elements rank among the priority metals that are of great public health significance. They are all systemic toxicants that are known to induce multiple organ damage, even at lower levels of exposure. According to the United States Environmental Protection Agency (U.S. EPA), and the International Agency for Research on Cancer (IARC), these metals are also classified as either “known” or “probable” human carcinogens based on epidemiological and experimental studies showing an association between exposure and cancer incidence in humans and animals.</w:t>
      </w:r>
    </w:p>
    <w:p w:rsidR="00A11E67" w:rsidRPr="00556AA6" w:rsidRDefault="00A11E67" w:rsidP="000C05D1">
      <w:pPr>
        <w:pStyle w:val="pp-last"/>
        <w:shd w:val="clear" w:color="auto" w:fill="FFFFFF"/>
        <w:tabs>
          <w:tab w:val="left" w:pos="900"/>
        </w:tabs>
        <w:spacing w:before="0" w:beforeAutospacing="0" w:after="0" w:afterAutospacing="0"/>
        <w:ind w:firstLine="720"/>
        <w:jc w:val="both"/>
        <w:rPr>
          <w:sz w:val="28"/>
          <w:szCs w:val="28"/>
          <w:lang w:val="en-GB"/>
        </w:rPr>
      </w:pPr>
    </w:p>
    <w:tbl>
      <w:tblPr>
        <w:tblW w:w="0" w:type="auto"/>
        <w:tblBorders>
          <w:top w:val="single" w:sz="8" w:space="0" w:color="A2A9B1"/>
          <w:left w:val="single" w:sz="8" w:space="0" w:color="A2A9B1"/>
          <w:bottom w:val="single" w:sz="8" w:space="0" w:color="A2A9B1"/>
          <w:right w:val="single" w:sz="8" w:space="0" w:color="A2A9B1"/>
        </w:tblBorders>
        <w:shd w:val="clear" w:color="auto" w:fill="F8F9FA"/>
        <w:tblCellMar>
          <w:top w:w="15" w:type="dxa"/>
          <w:left w:w="15" w:type="dxa"/>
          <w:bottom w:w="15" w:type="dxa"/>
          <w:right w:w="15" w:type="dxa"/>
        </w:tblCellMar>
        <w:tblLook w:val="0000" w:firstRow="0" w:lastRow="0" w:firstColumn="0" w:lastColumn="0" w:noHBand="0" w:noVBand="0"/>
      </w:tblPr>
      <w:tblGrid>
        <w:gridCol w:w="1406"/>
        <w:gridCol w:w="3298"/>
        <w:gridCol w:w="4842"/>
      </w:tblGrid>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0F0F0"/>
            <w:tcMar>
              <w:top w:w="48" w:type="dxa"/>
              <w:left w:w="96" w:type="dxa"/>
              <w:bottom w:w="48" w:type="dxa"/>
              <w:right w:w="96" w:type="dxa"/>
            </w:tcMar>
            <w:vAlign w:val="center"/>
          </w:tcPr>
          <w:p w:rsidR="00A11E67" w:rsidRPr="00A11E67" w:rsidRDefault="00A11E67" w:rsidP="00027B5B">
            <w:pPr>
              <w:jc w:val="center"/>
              <w:rPr>
                <w:rFonts w:ascii="Times New Roman" w:hAnsi="Times New Roman" w:cs="Times New Roman"/>
                <w:color w:val="auto"/>
                <w:sz w:val="28"/>
                <w:szCs w:val="28"/>
              </w:rPr>
            </w:pPr>
            <w:r w:rsidRPr="00A11E67">
              <w:rPr>
                <w:rFonts w:ascii="Times New Roman" w:hAnsi="Times New Roman" w:cs="Times New Roman"/>
                <w:b/>
                <w:bCs/>
                <w:color w:val="auto"/>
                <w:sz w:val="28"/>
                <w:szCs w:val="28"/>
              </w:rPr>
              <w:t>ment</w:t>
            </w:r>
          </w:p>
        </w:tc>
        <w:tc>
          <w:tcPr>
            <w:tcW w:w="0" w:type="auto"/>
            <w:tcBorders>
              <w:top w:val="single" w:sz="8" w:space="0" w:color="A2A9B1"/>
              <w:left w:val="single" w:sz="8" w:space="0" w:color="A2A9B1"/>
              <w:bottom w:val="single" w:sz="8" w:space="0" w:color="A2A9B1"/>
              <w:right w:val="single" w:sz="8" w:space="0" w:color="A2A9B1"/>
            </w:tcBorders>
            <w:shd w:val="clear" w:color="auto" w:fill="F0F0F0"/>
            <w:tcMar>
              <w:top w:w="48" w:type="dxa"/>
              <w:left w:w="96" w:type="dxa"/>
              <w:bottom w:w="48" w:type="dxa"/>
              <w:right w:w="96" w:type="dxa"/>
            </w:tcMar>
            <w:vAlign w:val="center"/>
          </w:tcPr>
          <w:p w:rsidR="00A11E67" w:rsidRPr="00A11E67" w:rsidRDefault="00A11E67" w:rsidP="00027B5B">
            <w:pPr>
              <w:jc w:val="center"/>
              <w:rPr>
                <w:rFonts w:ascii="Times New Roman" w:hAnsi="Times New Roman" w:cs="Times New Roman"/>
                <w:color w:val="auto"/>
                <w:sz w:val="28"/>
                <w:szCs w:val="28"/>
              </w:rPr>
            </w:pPr>
            <w:r w:rsidRPr="00A11E67">
              <w:rPr>
                <w:rFonts w:ascii="Times New Roman" w:hAnsi="Times New Roman" w:cs="Times New Roman"/>
                <w:b/>
                <w:bCs/>
                <w:color w:val="auto"/>
                <w:sz w:val="28"/>
                <w:szCs w:val="28"/>
              </w:rPr>
              <w:t>Acute exposure</w:t>
            </w:r>
            <w:r w:rsidRPr="00A11E67">
              <w:rPr>
                <w:rFonts w:ascii="Times New Roman" w:hAnsi="Times New Roman" w:cs="Times New Roman"/>
                <w:color w:val="auto"/>
                <w:sz w:val="28"/>
                <w:szCs w:val="28"/>
              </w:rPr>
              <w:br/>
            </w:r>
            <w:r w:rsidRPr="00A11E67">
              <w:rPr>
                <w:rFonts w:ascii="Times New Roman" w:hAnsi="Times New Roman" w:cs="Times New Roman"/>
                <w:i/>
                <w:iCs/>
                <w:color w:val="auto"/>
                <w:sz w:val="28"/>
                <w:szCs w:val="28"/>
              </w:rPr>
              <w:t>usually a day or less</w:t>
            </w:r>
          </w:p>
        </w:tc>
        <w:tc>
          <w:tcPr>
            <w:tcW w:w="0" w:type="auto"/>
            <w:tcBorders>
              <w:top w:val="single" w:sz="8" w:space="0" w:color="A2A9B1"/>
              <w:left w:val="single" w:sz="8" w:space="0" w:color="A2A9B1"/>
              <w:bottom w:val="single" w:sz="8" w:space="0" w:color="A2A9B1"/>
              <w:right w:val="single" w:sz="8" w:space="0" w:color="A2A9B1"/>
            </w:tcBorders>
            <w:shd w:val="clear" w:color="auto" w:fill="F0F0F0"/>
            <w:tcMar>
              <w:top w:w="48" w:type="dxa"/>
              <w:left w:w="96" w:type="dxa"/>
              <w:bottom w:w="48" w:type="dxa"/>
              <w:right w:w="96" w:type="dxa"/>
            </w:tcMar>
            <w:vAlign w:val="center"/>
          </w:tcPr>
          <w:p w:rsidR="00A11E67" w:rsidRPr="00A11E67" w:rsidRDefault="00A11E67" w:rsidP="00027B5B">
            <w:pPr>
              <w:jc w:val="center"/>
              <w:rPr>
                <w:rFonts w:ascii="Times New Roman" w:hAnsi="Times New Roman" w:cs="Times New Roman"/>
                <w:color w:val="auto"/>
                <w:sz w:val="28"/>
                <w:szCs w:val="28"/>
              </w:rPr>
            </w:pPr>
            <w:r w:rsidRPr="00A11E67">
              <w:rPr>
                <w:rFonts w:ascii="Times New Roman" w:hAnsi="Times New Roman" w:cs="Times New Roman"/>
                <w:b/>
                <w:bCs/>
                <w:color w:val="auto"/>
                <w:sz w:val="28"/>
                <w:szCs w:val="28"/>
              </w:rPr>
              <w:t>Chronic exposure</w:t>
            </w:r>
            <w:r w:rsidRPr="00A11E67">
              <w:rPr>
                <w:rFonts w:ascii="Times New Roman" w:hAnsi="Times New Roman" w:cs="Times New Roman"/>
                <w:color w:val="auto"/>
                <w:sz w:val="28"/>
                <w:szCs w:val="28"/>
              </w:rPr>
              <w:br/>
            </w:r>
            <w:r w:rsidRPr="00A11E67">
              <w:rPr>
                <w:rFonts w:ascii="Times New Roman" w:hAnsi="Times New Roman" w:cs="Times New Roman"/>
                <w:i/>
                <w:iCs/>
                <w:color w:val="auto"/>
                <w:sz w:val="28"/>
                <w:szCs w:val="28"/>
              </w:rPr>
              <w:t>often months or years</w:t>
            </w:r>
          </w:p>
        </w:tc>
      </w:tr>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81" w:tooltip="Cadmium poisoning" w:history="1">
              <w:r w:rsidR="00A11E67" w:rsidRPr="00A11E67">
                <w:rPr>
                  <w:rStyle w:val="ac"/>
                  <w:rFonts w:ascii="Times New Roman" w:hAnsi="Times New Roman" w:cs="Times New Roman"/>
                  <w:color w:val="auto"/>
                  <w:sz w:val="28"/>
                  <w:szCs w:val="28"/>
                  <w:u w:val="none"/>
                </w:rPr>
                <w:t>Cadmium</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82" w:tooltip="Pneumonitis" w:history="1">
              <w:r w:rsidR="00A11E67" w:rsidRPr="00A11E67">
                <w:rPr>
                  <w:rStyle w:val="ac"/>
                  <w:rFonts w:ascii="Times New Roman" w:hAnsi="Times New Roman" w:cs="Times New Roman"/>
                  <w:color w:val="auto"/>
                  <w:sz w:val="28"/>
                  <w:szCs w:val="28"/>
                  <w:u w:val="none"/>
                </w:rPr>
                <w:t>Pneumonitis</w:t>
              </w:r>
            </w:hyperlink>
            <w:r w:rsidR="00A11E67" w:rsidRPr="00A11E67">
              <w:rPr>
                <w:rFonts w:ascii="Times New Roman" w:hAnsi="Times New Roman" w:cs="Times New Roman"/>
                <w:color w:val="auto"/>
                <w:sz w:val="28"/>
                <w:szCs w:val="28"/>
              </w:rPr>
              <w:t> (lung inflammation)</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83" w:tooltip="Lung cancer" w:history="1">
              <w:r w:rsidR="00A11E67" w:rsidRPr="00A11E67">
                <w:rPr>
                  <w:rStyle w:val="ac"/>
                  <w:rFonts w:ascii="Times New Roman" w:hAnsi="Times New Roman" w:cs="Times New Roman"/>
                  <w:color w:val="auto"/>
                  <w:sz w:val="28"/>
                  <w:szCs w:val="28"/>
                  <w:u w:val="none"/>
                </w:rPr>
                <w:t>Lung cancer</w:t>
              </w:r>
            </w:hyperlink>
            <w:r w:rsidR="00A11E67" w:rsidRPr="00A11E67">
              <w:rPr>
                <w:rFonts w:ascii="Times New Roman" w:hAnsi="Times New Roman" w:cs="Times New Roman"/>
                <w:color w:val="auto"/>
                <w:sz w:val="28"/>
                <w:szCs w:val="28"/>
              </w:rPr>
              <w:br/>
            </w:r>
            <w:hyperlink r:id="rId84" w:tooltip="Osteomalacia" w:history="1">
              <w:r w:rsidR="00A11E67" w:rsidRPr="00A11E67">
                <w:rPr>
                  <w:rStyle w:val="ac"/>
                  <w:rFonts w:ascii="Times New Roman" w:hAnsi="Times New Roman" w:cs="Times New Roman"/>
                  <w:color w:val="auto"/>
                  <w:sz w:val="28"/>
                  <w:szCs w:val="28"/>
                  <w:u w:val="none"/>
                </w:rPr>
                <w:t>Osteomalacia</w:t>
              </w:r>
            </w:hyperlink>
            <w:r w:rsidR="00A11E67" w:rsidRPr="00A11E67">
              <w:rPr>
                <w:rFonts w:ascii="Times New Roman" w:hAnsi="Times New Roman" w:cs="Times New Roman"/>
                <w:color w:val="auto"/>
                <w:sz w:val="28"/>
                <w:szCs w:val="28"/>
              </w:rPr>
              <w:t> (softening of bones)</w:t>
            </w:r>
            <w:r w:rsidR="00A11E67" w:rsidRPr="00A11E67">
              <w:rPr>
                <w:rFonts w:ascii="Times New Roman" w:hAnsi="Times New Roman" w:cs="Times New Roman"/>
                <w:color w:val="auto"/>
                <w:sz w:val="28"/>
                <w:szCs w:val="28"/>
              </w:rPr>
              <w:br/>
            </w:r>
            <w:hyperlink r:id="rId85" w:tooltip="Proteinuria" w:history="1">
              <w:r w:rsidR="00A11E67" w:rsidRPr="00A11E67">
                <w:rPr>
                  <w:rStyle w:val="ac"/>
                  <w:rFonts w:ascii="Times New Roman" w:hAnsi="Times New Roman" w:cs="Times New Roman"/>
                  <w:color w:val="auto"/>
                  <w:sz w:val="28"/>
                  <w:szCs w:val="28"/>
                  <w:u w:val="none"/>
                </w:rPr>
                <w:t>Proteinuria</w:t>
              </w:r>
            </w:hyperlink>
            <w:r w:rsidR="00A11E67" w:rsidRPr="00A11E67">
              <w:rPr>
                <w:rFonts w:ascii="Times New Roman" w:hAnsi="Times New Roman" w:cs="Times New Roman"/>
                <w:color w:val="auto"/>
                <w:sz w:val="28"/>
                <w:szCs w:val="28"/>
              </w:rPr>
              <w:t> (excess protein in urine; possible kidney damage)</w:t>
            </w:r>
          </w:p>
        </w:tc>
      </w:tr>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86" w:tooltip="Mercury poisoning" w:history="1">
              <w:r w:rsidR="00A11E67" w:rsidRPr="00A11E67">
                <w:rPr>
                  <w:rStyle w:val="ac"/>
                  <w:rFonts w:ascii="Times New Roman" w:hAnsi="Times New Roman" w:cs="Times New Roman"/>
                  <w:color w:val="auto"/>
                  <w:sz w:val="28"/>
                  <w:szCs w:val="28"/>
                  <w:u w:val="none"/>
                </w:rPr>
                <w:t>Mercury</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87" w:tooltip="Diarrhea" w:history="1">
              <w:r w:rsidR="00A11E67" w:rsidRPr="00A11E67">
                <w:rPr>
                  <w:rStyle w:val="ac"/>
                  <w:rFonts w:ascii="Times New Roman" w:hAnsi="Times New Roman" w:cs="Times New Roman"/>
                  <w:color w:val="auto"/>
                  <w:sz w:val="28"/>
                  <w:szCs w:val="28"/>
                  <w:u w:val="none"/>
                </w:rPr>
                <w:t>Diarrhea</w:t>
              </w:r>
            </w:hyperlink>
            <w:r w:rsidR="00A11E67" w:rsidRPr="00A11E67">
              <w:rPr>
                <w:rFonts w:ascii="Times New Roman" w:hAnsi="Times New Roman" w:cs="Times New Roman"/>
                <w:color w:val="auto"/>
                <w:sz w:val="28"/>
                <w:szCs w:val="28"/>
              </w:rPr>
              <w:br/>
            </w:r>
            <w:hyperlink r:id="rId88" w:tooltip="Fever" w:history="1">
              <w:r w:rsidR="00A11E67" w:rsidRPr="00A11E67">
                <w:rPr>
                  <w:rStyle w:val="ac"/>
                  <w:rFonts w:ascii="Times New Roman" w:hAnsi="Times New Roman" w:cs="Times New Roman"/>
                  <w:color w:val="auto"/>
                  <w:sz w:val="28"/>
                  <w:szCs w:val="28"/>
                  <w:u w:val="none"/>
                </w:rPr>
                <w:t>Fever</w:t>
              </w:r>
            </w:hyperlink>
            <w:r w:rsidR="00A11E67" w:rsidRPr="00A11E67">
              <w:rPr>
                <w:rFonts w:ascii="Times New Roman" w:hAnsi="Times New Roman" w:cs="Times New Roman"/>
                <w:color w:val="auto"/>
                <w:sz w:val="28"/>
                <w:szCs w:val="28"/>
              </w:rPr>
              <w:br/>
            </w:r>
            <w:hyperlink r:id="rId89" w:tooltip="Vomiting" w:history="1">
              <w:r w:rsidR="00A11E67" w:rsidRPr="00A11E67">
                <w:rPr>
                  <w:rStyle w:val="ac"/>
                  <w:rFonts w:ascii="Times New Roman" w:hAnsi="Times New Roman" w:cs="Times New Roman"/>
                  <w:color w:val="auto"/>
                  <w:sz w:val="28"/>
                  <w:szCs w:val="28"/>
                  <w:u w:val="none"/>
                </w:rPr>
                <w:t>Vomiting</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90" w:tooltip="Stomatitis" w:history="1">
              <w:r w:rsidR="00A11E67" w:rsidRPr="00A11E67">
                <w:rPr>
                  <w:rStyle w:val="ac"/>
                  <w:rFonts w:ascii="Times New Roman" w:hAnsi="Times New Roman" w:cs="Times New Roman"/>
                  <w:color w:val="auto"/>
                  <w:sz w:val="28"/>
                  <w:szCs w:val="28"/>
                  <w:u w:val="none"/>
                </w:rPr>
                <w:t>Stomatitis</w:t>
              </w:r>
            </w:hyperlink>
            <w:r w:rsidR="00A11E67" w:rsidRPr="00A11E67">
              <w:rPr>
                <w:rFonts w:ascii="Times New Roman" w:hAnsi="Times New Roman" w:cs="Times New Roman"/>
                <w:color w:val="auto"/>
                <w:sz w:val="28"/>
                <w:szCs w:val="28"/>
              </w:rPr>
              <w:t> (inflammation of gums and mouth)</w:t>
            </w:r>
            <w:r w:rsidR="00A11E67" w:rsidRPr="00A11E67">
              <w:rPr>
                <w:rFonts w:ascii="Times New Roman" w:hAnsi="Times New Roman" w:cs="Times New Roman"/>
                <w:color w:val="auto"/>
                <w:sz w:val="28"/>
                <w:szCs w:val="28"/>
              </w:rPr>
              <w:br/>
            </w:r>
            <w:hyperlink r:id="rId91" w:tooltip="Nausea" w:history="1">
              <w:r w:rsidR="00A11E67" w:rsidRPr="00A11E67">
                <w:rPr>
                  <w:rStyle w:val="ac"/>
                  <w:rFonts w:ascii="Times New Roman" w:hAnsi="Times New Roman" w:cs="Times New Roman"/>
                  <w:color w:val="auto"/>
                  <w:sz w:val="28"/>
                  <w:szCs w:val="28"/>
                  <w:u w:val="none"/>
                </w:rPr>
                <w:t>Nausea</w:t>
              </w:r>
            </w:hyperlink>
            <w:r w:rsidR="00A11E67" w:rsidRPr="00A11E67">
              <w:rPr>
                <w:rFonts w:ascii="Times New Roman" w:hAnsi="Times New Roman" w:cs="Times New Roman"/>
                <w:color w:val="auto"/>
                <w:sz w:val="28"/>
                <w:szCs w:val="28"/>
              </w:rPr>
              <w:br/>
            </w:r>
            <w:hyperlink r:id="rId92" w:tooltip="Nephrotic syndrome" w:history="1">
              <w:r w:rsidR="00A11E67" w:rsidRPr="00A11E67">
                <w:rPr>
                  <w:rStyle w:val="ac"/>
                  <w:rFonts w:ascii="Times New Roman" w:hAnsi="Times New Roman" w:cs="Times New Roman"/>
                  <w:color w:val="auto"/>
                  <w:sz w:val="28"/>
                  <w:szCs w:val="28"/>
                  <w:u w:val="none"/>
                </w:rPr>
                <w:t>Nephrotic syndrome</w:t>
              </w:r>
            </w:hyperlink>
            <w:r w:rsidR="00A11E67" w:rsidRPr="00A11E67">
              <w:rPr>
                <w:rFonts w:ascii="Times New Roman" w:hAnsi="Times New Roman" w:cs="Times New Roman"/>
                <w:color w:val="auto"/>
                <w:sz w:val="28"/>
                <w:szCs w:val="28"/>
              </w:rPr>
              <w:t> (nonspecific kidney disorder)</w:t>
            </w:r>
            <w:r w:rsidR="00A11E67" w:rsidRPr="00A11E67">
              <w:rPr>
                <w:rFonts w:ascii="Times New Roman" w:hAnsi="Times New Roman" w:cs="Times New Roman"/>
                <w:color w:val="auto"/>
                <w:sz w:val="28"/>
                <w:szCs w:val="28"/>
              </w:rPr>
              <w:br/>
            </w:r>
            <w:hyperlink r:id="rId93" w:tooltip="Neurasthenia" w:history="1">
              <w:r w:rsidR="00A11E67" w:rsidRPr="00A11E67">
                <w:rPr>
                  <w:rStyle w:val="ac"/>
                  <w:rFonts w:ascii="Times New Roman" w:hAnsi="Times New Roman" w:cs="Times New Roman"/>
                  <w:color w:val="auto"/>
                  <w:sz w:val="28"/>
                  <w:szCs w:val="28"/>
                  <w:u w:val="none"/>
                </w:rPr>
                <w:t>Neurasthenia</w:t>
              </w:r>
            </w:hyperlink>
            <w:r w:rsidR="00A11E67" w:rsidRPr="00A11E67">
              <w:rPr>
                <w:rFonts w:ascii="Times New Roman" w:hAnsi="Times New Roman" w:cs="Times New Roman"/>
                <w:color w:val="auto"/>
                <w:sz w:val="28"/>
                <w:szCs w:val="28"/>
              </w:rPr>
              <w:t> (neurotic disorder)</w:t>
            </w:r>
            <w:r w:rsidR="00A11E67" w:rsidRPr="00A11E67">
              <w:rPr>
                <w:rFonts w:ascii="Times New Roman" w:hAnsi="Times New Roman" w:cs="Times New Roman"/>
                <w:color w:val="auto"/>
                <w:sz w:val="28"/>
                <w:szCs w:val="28"/>
              </w:rPr>
              <w:br/>
            </w:r>
            <w:hyperlink r:id="rId94" w:tooltip="Parageusia" w:history="1">
              <w:r w:rsidR="00A11E67" w:rsidRPr="00A11E67">
                <w:rPr>
                  <w:rStyle w:val="ac"/>
                  <w:rFonts w:ascii="Times New Roman" w:hAnsi="Times New Roman" w:cs="Times New Roman"/>
                  <w:color w:val="auto"/>
                  <w:sz w:val="28"/>
                  <w:szCs w:val="28"/>
                  <w:u w:val="none"/>
                </w:rPr>
                <w:t>Parageusia</w:t>
              </w:r>
            </w:hyperlink>
            <w:r w:rsidR="00A11E67" w:rsidRPr="00A11E67">
              <w:rPr>
                <w:rFonts w:ascii="Times New Roman" w:hAnsi="Times New Roman" w:cs="Times New Roman"/>
                <w:color w:val="auto"/>
                <w:sz w:val="28"/>
                <w:szCs w:val="28"/>
              </w:rPr>
              <w:t> (metallic taste)</w:t>
            </w:r>
            <w:r w:rsidR="00A11E67" w:rsidRPr="00A11E67">
              <w:rPr>
                <w:rFonts w:ascii="Times New Roman" w:hAnsi="Times New Roman" w:cs="Times New Roman"/>
                <w:color w:val="auto"/>
                <w:sz w:val="28"/>
                <w:szCs w:val="28"/>
              </w:rPr>
              <w:br/>
            </w:r>
            <w:hyperlink r:id="rId95" w:anchor="Infantile_acrodynia" w:tooltip="Mercury poisoning" w:history="1">
              <w:r w:rsidR="00A11E67" w:rsidRPr="00A11E67">
                <w:rPr>
                  <w:rStyle w:val="ac"/>
                  <w:rFonts w:ascii="Times New Roman" w:hAnsi="Times New Roman" w:cs="Times New Roman"/>
                  <w:color w:val="auto"/>
                  <w:sz w:val="28"/>
                  <w:szCs w:val="28"/>
                  <w:u w:val="none"/>
                </w:rPr>
                <w:t>Pink Disease</w:t>
              </w:r>
            </w:hyperlink>
            <w:r w:rsidR="00A11E67" w:rsidRPr="00A11E67">
              <w:rPr>
                <w:rFonts w:ascii="Times New Roman" w:hAnsi="Times New Roman" w:cs="Times New Roman"/>
                <w:color w:val="auto"/>
                <w:sz w:val="28"/>
                <w:szCs w:val="28"/>
              </w:rPr>
              <w:t> (pain and pink discoloration of hands and feet)</w:t>
            </w:r>
            <w:r w:rsidR="00A11E67" w:rsidRPr="00A11E67">
              <w:rPr>
                <w:rFonts w:ascii="Times New Roman" w:hAnsi="Times New Roman" w:cs="Times New Roman"/>
                <w:color w:val="auto"/>
                <w:sz w:val="28"/>
                <w:szCs w:val="28"/>
              </w:rPr>
              <w:br/>
            </w:r>
            <w:hyperlink r:id="rId96" w:tooltip="Tremor" w:history="1">
              <w:r w:rsidR="00A11E67" w:rsidRPr="00A11E67">
                <w:rPr>
                  <w:rStyle w:val="ac"/>
                  <w:rFonts w:ascii="Times New Roman" w:hAnsi="Times New Roman" w:cs="Times New Roman"/>
                  <w:color w:val="auto"/>
                  <w:sz w:val="28"/>
                  <w:szCs w:val="28"/>
                  <w:u w:val="none"/>
                </w:rPr>
                <w:t>Tremor</w:t>
              </w:r>
            </w:hyperlink>
          </w:p>
        </w:tc>
      </w:tr>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97" w:tooltip="Lead poisoning" w:history="1">
              <w:r w:rsidR="00A11E67" w:rsidRPr="00A11E67">
                <w:rPr>
                  <w:rStyle w:val="ac"/>
                  <w:rFonts w:ascii="Times New Roman" w:hAnsi="Times New Roman" w:cs="Times New Roman"/>
                  <w:color w:val="auto"/>
                  <w:sz w:val="28"/>
                  <w:szCs w:val="28"/>
                  <w:u w:val="none"/>
                </w:rPr>
                <w:t>Lead</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98" w:tooltip="Encephalopathy" w:history="1">
              <w:r w:rsidR="00A11E67" w:rsidRPr="00A11E67">
                <w:rPr>
                  <w:rStyle w:val="ac"/>
                  <w:rFonts w:ascii="Times New Roman" w:hAnsi="Times New Roman" w:cs="Times New Roman"/>
                  <w:color w:val="auto"/>
                  <w:sz w:val="28"/>
                  <w:szCs w:val="28"/>
                  <w:u w:val="none"/>
                </w:rPr>
                <w:t>Encephalopathy</w:t>
              </w:r>
            </w:hyperlink>
            <w:r w:rsidR="00A11E67" w:rsidRPr="00A11E67">
              <w:rPr>
                <w:rFonts w:ascii="Times New Roman" w:hAnsi="Times New Roman" w:cs="Times New Roman"/>
                <w:color w:val="auto"/>
                <w:sz w:val="28"/>
                <w:szCs w:val="28"/>
              </w:rPr>
              <w:t> (brain dysfunction)</w:t>
            </w:r>
            <w:r w:rsidR="00A11E67" w:rsidRPr="00A11E67">
              <w:rPr>
                <w:rFonts w:ascii="Times New Roman" w:hAnsi="Times New Roman" w:cs="Times New Roman"/>
                <w:color w:val="auto"/>
                <w:sz w:val="28"/>
                <w:szCs w:val="28"/>
              </w:rPr>
              <w:br/>
              <w:t>Nausea</w:t>
            </w:r>
            <w:r w:rsidR="00A11E67" w:rsidRPr="00A11E67">
              <w:rPr>
                <w:rFonts w:ascii="Times New Roman" w:hAnsi="Times New Roman" w:cs="Times New Roman"/>
                <w:color w:val="auto"/>
                <w:sz w:val="28"/>
                <w:szCs w:val="28"/>
              </w:rPr>
              <w:br/>
              <w:t>Vomiting</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99" w:tooltip="Anemia" w:history="1">
              <w:r w:rsidR="00A11E67" w:rsidRPr="00A11E67">
                <w:rPr>
                  <w:rStyle w:val="ac"/>
                  <w:rFonts w:ascii="Times New Roman" w:hAnsi="Times New Roman" w:cs="Times New Roman"/>
                  <w:color w:val="auto"/>
                  <w:sz w:val="28"/>
                  <w:szCs w:val="28"/>
                  <w:u w:val="none"/>
                </w:rPr>
                <w:t>Anemia</w:t>
              </w:r>
            </w:hyperlink>
            <w:r w:rsidR="00A11E67" w:rsidRPr="00A11E67">
              <w:rPr>
                <w:rFonts w:ascii="Times New Roman" w:hAnsi="Times New Roman" w:cs="Times New Roman"/>
                <w:color w:val="auto"/>
                <w:sz w:val="28"/>
                <w:szCs w:val="28"/>
              </w:rPr>
              <w:br/>
              <w:t>Encephalopathy</w:t>
            </w:r>
            <w:r w:rsidR="00A11E67" w:rsidRPr="00A11E67">
              <w:rPr>
                <w:rFonts w:ascii="Times New Roman" w:hAnsi="Times New Roman" w:cs="Times New Roman"/>
                <w:color w:val="auto"/>
                <w:sz w:val="28"/>
                <w:szCs w:val="28"/>
              </w:rPr>
              <w:br/>
            </w:r>
            <w:hyperlink r:id="rId100" w:tooltip="Foot drop" w:history="1">
              <w:r w:rsidR="00A11E67" w:rsidRPr="00A11E67">
                <w:rPr>
                  <w:rStyle w:val="ac"/>
                  <w:rFonts w:ascii="Times New Roman" w:hAnsi="Times New Roman" w:cs="Times New Roman"/>
                  <w:color w:val="auto"/>
                  <w:sz w:val="28"/>
                  <w:szCs w:val="28"/>
                  <w:u w:val="none"/>
                </w:rPr>
                <w:t>Foot drop</w:t>
              </w:r>
            </w:hyperlink>
            <w:r w:rsidR="00A11E67" w:rsidRPr="00A11E67">
              <w:rPr>
                <w:rFonts w:ascii="Times New Roman" w:hAnsi="Times New Roman" w:cs="Times New Roman"/>
                <w:color w:val="auto"/>
                <w:sz w:val="28"/>
                <w:szCs w:val="28"/>
              </w:rPr>
              <w:t>/</w:t>
            </w:r>
            <w:hyperlink r:id="rId101" w:tooltip="Wrist drop" w:history="1">
              <w:r w:rsidR="00A11E67" w:rsidRPr="00A11E67">
                <w:rPr>
                  <w:rStyle w:val="ac"/>
                  <w:rFonts w:ascii="Times New Roman" w:hAnsi="Times New Roman" w:cs="Times New Roman"/>
                  <w:color w:val="auto"/>
                  <w:sz w:val="28"/>
                  <w:szCs w:val="28"/>
                  <w:u w:val="none"/>
                </w:rPr>
                <w:t>wrist drop</w:t>
              </w:r>
            </w:hyperlink>
            <w:r w:rsidR="00A11E67" w:rsidRPr="00A11E67">
              <w:rPr>
                <w:rFonts w:ascii="Times New Roman" w:hAnsi="Times New Roman" w:cs="Times New Roman"/>
                <w:color w:val="auto"/>
                <w:sz w:val="28"/>
                <w:szCs w:val="28"/>
              </w:rPr>
              <w:t> (palsy)</w:t>
            </w:r>
            <w:r w:rsidR="00A11E67" w:rsidRPr="00A11E67">
              <w:rPr>
                <w:rFonts w:ascii="Times New Roman" w:hAnsi="Times New Roman" w:cs="Times New Roman"/>
                <w:color w:val="auto"/>
                <w:sz w:val="28"/>
                <w:szCs w:val="28"/>
              </w:rPr>
              <w:br/>
              <w:t>Nephropathy (kidney disease)</w:t>
            </w:r>
          </w:p>
        </w:tc>
      </w:tr>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102" w:tooltip="Chromium toxicity" w:history="1">
              <w:r w:rsidR="00A11E67" w:rsidRPr="00A11E67">
                <w:rPr>
                  <w:rStyle w:val="ac"/>
                  <w:rFonts w:ascii="Times New Roman" w:hAnsi="Times New Roman" w:cs="Times New Roman"/>
                  <w:color w:val="auto"/>
                  <w:sz w:val="28"/>
                  <w:szCs w:val="28"/>
                  <w:u w:val="none"/>
                </w:rPr>
                <w:t>Chromium</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103" w:tooltip="Gastrointestinal hemorrhage" w:history="1">
              <w:r w:rsidR="00A11E67" w:rsidRPr="00A11E67">
                <w:rPr>
                  <w:rStyle w:val="ac"/>
                  <w:rFonts w:ascii="Times New Roman" w:hAnsi="Times New Roman" w:cs="Times New Roman"/>
                  <w:color w:val="auto"/>
                  <w:sz w:val="28"/>
                  <w:szCs w:val="28"/>
                  <w:u w:val="none"/>
                </w:rPr>
                <w:t>Gastrointestinal hemorrhage</w:t>
              </w:r>
            </w:hyperlink>
            <w:r w:rsidR="00A11E67" w:rsidRPr="00A11E67">
              <w:rPr>
                <w:rFonts w:ascii="Times New Roman" w:hAnsi="Times New Roman" w:cs="Times New Roman"/>
                <w:color w:val="auto"/>
                <w:sz w:val="28"/>
                <w:szCs w:val="28"/>
              </w:rPr>
              <w:t> (bleeding) </w:t>
            </w:r>
            <w:r w:rsidR="00A11E67" w:rsidRPr="00A11E67">
              <w:rPr>
                <w:rFonts w:ascii="Times New Roman" w:hAnsi="Times New Roman" w:cs="Times New Roman"/>
                <w:color w:val="auto"/>
                <w:sz w:val="28"/>
                <w:szCs w:val="28"/>
              </w:rPr>
              <w:br/>
            </w:r>
            <w:hyperlink r:id="rId104" w:tooltip="Hemolysis" w:history="1">
              <w:r w:rsidR="00A11E67" w:rsidRPr="00A11E67">
                <w:rPr>
                  <w:rStyle w:val="ac"/>
                  <w:rFonts w:ascii="Times New Roman" w:hAnsi="Times New Roman" w:cs="Times New Roman"/>
                  <w:color w:val="auto"/>
                  <w:sz w:val="28"/>
                  <w:szCs w:val="28"/>
                  <w:u w:val="none"/>
                </w:rPr>
                <w:t>Hemolysis</w:t>
              </w:r>
            </w:hyperlink>
            <w:r w:rsidR="00A11E67" w:rsidRPr="00A11E67">
              <w:rPr>
                <w:rFonts w:ascii="Times New Roman" w:hAnsi="Times New Roman" w:cs="Times New Roman"/>
                <w:color w:val="auto"/>
                <w:sz w:val="28"/>
                <w:szCs w:val="28"/>
              </w:rPr>
              <w:t> (red blood cell destruction)</w:t>
            </w:r>
            <w:r w:rsidR="00A11E67" w:rsidRPr="00A11E67">
              <w:rPr>
                <w:rFonts w:ascii="Times New Roman" w:hAnsi="Times New Roman" w:cs="Times New Roman"/>
                <w:color w:val="auto"/>
                <w:sz w:val="28"/>
                <w:szCs w:val="28"/>
              </w:rPr>
              <w:br/>
            </w:r>
            <w:hyperlink r:id="rId105" w:tooltip="Acute renal failure" w:history="1">
              <w:r w:rsidR="00A11E67" w:rsidRPr="00A11E67">
                <w:rPr>
                  <w:rStyle w:val="ac"/>
                  <w:rFonts w:ascii="Times New Roman" w:hAnsi="Times New Roman" w:cs="Times New Roman"/>
                  <w:color w:val="auto"/>
                  <w:sz w:val="28"/>
                  <w:szCs w:val="28"/>
                  <w:u w:val="none"/>
                </w:rPr>
                <w:t>Acute renal failure</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106" w:tooltip="Pulmonary fibrosis" w:history="1">
              <w:r w:rsidR="00A11E67" w:rsidRPr="00A11E67">
                <w:rPr>
                  <w:rStyle w:val="ac"/>
                  <w:rFonts w:ascii="Times New Roman" w:hAnsi="Times New Roman" w:cs="Times New Roman"/>
                  <w:color w:val="auto"/>
                  <w:sz w:val="28"/>
                  <w:szCs w:val="28"/>
                  <w:u w:val="none"/>
                </w:rPr>
                <w:t>Pulmonary fibrosis</w:t>
              </w:r>
            </w:hyperlink>
            <w:r w:rsidR="00A11E67" w:rsidRPr="00A11E67">
              <w:rPr>
                <w:rFonts w:ascii="Times New Roman" w:hAnsi="Times New Roman" w:cs="Times New Roman"/>
                <w:color w:val="auto"/>
                <w:sz w:val="28"/>
                <w:szCs w:val="28"/>
              </w:rPr>
              <w:t> (lung scarring)</w:t>
            </w:r>
            <w:r w:rsidR="00A11E67" w:rsidRPr="00A11E67">
              <w:rPr>
                <w:rFonts w:ascii="Times New Roman" w:hAnsi="Times New Roman" w:cs="Times New Roman"/>
                <w:color w:val="auto"/>
                <w:sz w:val="28"/>
                <w:szCs w:val="28"/>
              </w:rPr>
              <w:br/>
            </w:r>
            <w:hyperlink r:id="rId107" w:tooltip="Lung cancer" w:history="1">
              <w:r w:rsidR="00A11E67" w:rsidRPr="00A11E67">
                <w:rPr>
                  <w:rStyle w:val="ac"/>
                  <w:rFonts w:ascii="Times New Roman" w:hAnsi="Times New Roman" w:cs="Times New Roman"/>
                  <w:color w:val="auto"/>
                  <w:sz w:val="28"/>
                  <w:szCs w:val="28"/>
                  <w:u w:val="none"/>
                </w:rPr>
                <w:t>Lung cancer</w:t>
              </w:r>
            </w:hyperlink>
          </w:p>
        </w:tc>
      </w:tr>
      <w:tr w:rsidR="00A11E67" w:rsidRPr="00A11E67" w:rsidTr="00027B5B">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108" w:tooltip="Arsenic poisoning" w:history="1">
              <w:r w:rsidR="00A11E67" w:rsidRPr="00A11E67">
                <w:rPr>
                  <w:rStyle w:val="ac"/>
                  <w:rFonts w:ascii="Times New Roman" w:hAnsi="Times New Roman" w:cs="Times New Roman"/>
                  <w:color w:val="auto"/>
                  <w:sz w:val="28"/>
                  <w:szCs w:val="28"/>
                  <w:u w:val="none"/>
                </w:rPr>
                <w:t>Arsenic</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A11E67" w:rsidP="00027B5B">
            <w:pPr>
              <w:rPr>
                <w:rFonts w:ascii="Times New Roman" w:hAnsi="Times New Roman" w:cs="Times New Roman"/>
                <w:color w:val="auto"/>
                <w:sz w:val="28"/>
                <w:szCs w:val="28"/>
              </w:rPr>
            </w:pPr>
            <w:r w:rsidRPr="00A11E67">
              <w:rPr>
                <w:rFonts w:ascii="Times New Roman" w:hAnsi="Times New Roman" w:cs="Times New Roman"/>
                <w:color w:val="auto"/>
                <w:sz w:val="28"/>
                <w:szCs w:val="28"/>
              </w:rPr>
              <w:t>Nausea</w:t>
            </w:r>
            <w:r w:rsidRPr="00A11E67">
              <w:rPr>
                <w:rFonts w:ascii="Times New Roman" w:hAnsi="Times New Roman" w:cs="Times New Roman"/>
                <w:color w:val="auto"/>
                <w:sz w:val="28"/>
                <w:szCs w:val="28"/>
              </w:rPr>
              <w:br/>
              <w:t>Vomiting</w:t>
            </w:r>
            <w:r w:rsidRPr="00A11E67">
              <w:rPr>
                <w:rFonts w:ascii="Times New Roman" w:hAnsi="Times New Roman" w:cs="Times New Roman"/>
                <w:color w:val="auto"/>
                <w:sz w:val="28"/>
                <w:szCs w:val="28"/>
              </w:rPr>
              <w:br/>
              <w:t>Diarrhea</w:t>
            </w:r>
            <w:r w:rsidRPr="00A11E67">
              <w:rPr>
                <w:rFonts w:ascii="Times New Roman" w:hAnsi="Times New Roman" w:cs="Times New Roman"/>
                <w:color w:val="auto"/>
                <w:sz w:val="28"/>
                <w:szCs w:val="28"/>
              </w:rPr>
              <w:br/>
              <w:t>Encephalopathy</w:t>
            </w:r>
            <w:r w:rsidRPr="00A11E67">
              <w:rPr>
                <w:rFonts w:ascii="Times New Roman" w:hAnsi="Times New Roman" w:cs="Times New Roman"/>
                <w:color w:val="auto"/>
                <w:sz w:val="28"/>
                <w:szCs w:val="28"/>
              </w:rPr>
              <w:br/>
              <w:t>Multi-organ effects</w:t>
            </w:r>
            <w:r w:rsidRPr="00A11E67">
              <w:rPr>
                <w:rFonts w:ascii="Times New Roman" w:hAnsi="Times New Roman" w:cs="Times New Roman"/>
                <w:color w:val="auto"/>
                <w:sz w:val="28"/>
                <w:szCs w:val="28"/>
              </w:rPr>
              <w:br/>
            </w:r>
            <w:hyperlink r:id="rId109" w:tooltip="Heart arrhythmia" w:history="1">
              <w:r w:rsidRPr="00A11E67">
                <w:rPr>
                  <w:rStyle w:val="ac"/>
                  <w:rFonts w:ascii="Times New Roman" w:hAnsi="Times New Roman" w:cs="Times New Roman"/>
                  <w:color w:val="auto"/>
                  <w:sz w:val="28"/>
                  <w:szCs w:val="28"/>
                  <w:u w:val="none"/>
                </w:rPr>
                <w:t>Arrhythmia</w:t>
              </w:r>
            </w:hyperlink>
            <w:r w:rsidRPr="00A11E67">
              <w:rPr>
                <w:rFonts w:ascii="Times New Roman" w:hAnsi="Times New Roman" w:cs="Times New Roman"/>
                <w:color w:val="auto"/>
                <w:sz w:val="28"/>
                <w:szCs w:val="28"/>
              </w:rPr>
              <w:br/>
              <w:t>Painful </w:t>
            </w:r>
            <w:hyperlink r:id="rId110" w:tooltip="Neuropathy" w:history="1">
              <w:r w:rsidRPr="00A11E67">
                <w:rPr>
                  <w:rStyle w:val="ac"/>
                  <w:rFonts w:ascii="Times New Roman" w:hAnsi="Times New Roman" w:cs="Times New Roman"/>
                  <w:color w:val="auto"/>
                  <w:sz w:val="28"/>
                  <w:szCs w:val="28"/>
                  <w:u w:val="none"/>
                </w:rPr>
                <w:t>neuropathy</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A11E67" w:rsidRPr="00A11E67" w:rsidRDefault="009D4A0E" w:rsidP="00027B5B">
            <w:pPr>
              <w:rPr>
                <w:rFonts w:ascii="Times New Roman" w:hAnsi="Times New Roman" w:cs="Times New Roman"/>
                <w:color w:val="auto"/>
                <w:sz w:val="28"/>
                <w:szCs w:val="28"/>
              </w:rPr>
            </w:pPr>
            <w:hyperlink r:id="rId111" w:tooltip="Diabetes" w:history="1">
              <w:r w:rsidR="00A11E67" w:rsidRPr="00A11E67">
                <w:rPr>
                  <w:rStyle w:val="ac"/>
                  <w:rFonts w:ascii="Times New Roman" w:hAnsi="Times New Roman" w:cs="Times New Roman"/>
                  <w:color w:val="auto"/>
                  <w:sz w:val="28"/>
                  <w:szCs w:val="28"/>
                  <w:u w:val="none"/>
                </w:rPr>
                <w:t>Diabetes</w:t>
              </w:r>
            </w:hyperlink>
            <w:r w:rsidR="00A11E67" w:rsidRPr="00A11E67">
              <w:rPr>
                <w:rFonts w:ascii="Times New Roman" w:hAnsi="Times New Roman" w:cs="Times New Roman"/>
                <w:color w:val="auto"/>
                <w:sz w:val="28"/>
                <w:szCs w:val="28"/>
              </w:rPr>
              <w:br/>
            </w:r>
            <w:hyperlink r:id="rId112" w:tooltip="Hypopigmentation" w:history="1">
              <w:r w:rsidR="00A11E67" w:rsidRPr="00A11E67">
                <w:rPr>
                  <w:rStyle w:val="ac"/>
                  <w:rFonts w:ascii="Times New Roman" w:hAnsi="Times New Roman" w:cs="Times New Roman"/>
                  <w:color w:val="auto"/>
                  <w:sz w:val="28"/>
                  <w:szCs w:val="28"/>
                  <w:u w:val="none"/>
                </w:rPr>
                <w:t>Hypopigmentation</w:t>
              </w:r>
            </w:hyperlink>
            <w:r w:rsidR="00A11E67" w:rsidRPr="00A11E67">
              <w:rPr>
                <w:rFonts w:ascii="Times New Roman" w:hAnsi="Times New Roman" w:cs="Times New Roman"/>
                <w:color w:val="auto"/>
                <w:sz w:val="28"/>
                <w:szCs w:val="28"/>
              </w:rPr>
              <w:t>/</w:t>
            </w:r>
            <w:hyperlink r:id="rId113" w:tooltip="Hyperkeratosis" w:history="1">
              <w:r w:rsidR="00A11E67" w:rsidRPr="00A11E67">
                <w:rPr>
                  <w:rStyle w:val="ac"/>
                  <w:rFonts w:ascii="Times New Roman" w:hAnsi="Times New Roman" w:cs="Times New Roman"/>
                  <w:color w:val="auto"/>
                  <w:sz w:val="28"/>
                  <w:szCs w:val="28"/>
                  <w:u w:val="none"/>
                </w:rPr>
                <w:t>Hyperkeratosis</w:t>
              </w:r>
            </w:hyperlink>
            <w:r w:rsidR="00A11E67" w:rsidRPr="00A11E67">
              <w:rPr>
                <w:rFonts w:ascii="Times New Roman" w:hAnsi="Times New Roman" w:cs="Times New Roman"/>
                <w:color w:val="auto"/>
                <w:sz w:val="28"/>
                <w:szCs w:val="28"/>
              </w:rPr>
              <w:br/>
            </w:r>
            <w:hyperlink r:id="rId114" w:tooltip="Cancer" w:history="1">
              <w:r w:rsidR="00A11E67" w:rsidRPr="00A11E67">
                <w:rPr>
                  <w:rStyle w:val="ac"/>
                  <w:rFonts w:ascii="Times New Roman" w:hAnsi="Times New Roman" w:cs="Times New Roman"/>
                  <w:color w:val="auto"/>
                  <w:sz w:val="28"/>
                  <w:szCs w:val="28"/>
                  <w:u w:val="none"/>
                </w:rPr>
                <w:t>Cancer</w:t>
              </w:r>
            </w:hyperlink>
          </w:p>
        </w:tc>
      </w:tr>
    </w:tbl>
    <w:p w:rsidR="00D425E8" w:rsidRDefault="00D425E8" w:rsidP="00D425E8">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Heavy metal-induced toxicity and carcinogenicity involves many mechanistic aspects, some of which are not clearly elucidated or understood. </w:t>
      </w:r>
      <w:r w:rsidRPr="00556AA6">
        <w:rPr>
          <w:sz w:val="28"/>
          <w:szCs w:val="28"/>
          <w:lang w:val="en-GB"/>
        </w:rPr>
        <w:lastRenderedPageBreak/>
        <w:t>However, each metal is known to have unique features and physic-chemical properties that confer to its specific toxicological mechanisms of action. This review provides an analysis of the environmental occurrence, production and use, potential for human exposure, and molecular mechanisms of toxicity, genotoxicity, and carcinogenicity of arsenic, cadmium, chromium, lead, and mercury.</w:t>
      </w:r>
    </w:p>
    <w:p w:rsidR="00A11E67" w:rsidRDefault="00A11E67" w:rsidP="000C05D1">
      <w:pPr>
        <w:pStyle w:val="3"/>
        <w:shd w:val="clear" w:color="auto" w:fill="FFFFFF"/>
        <w:tabs>
          <w:tab w:val="left" w:pos="900"/>
        </w:tabs>
        <w:spacing w:before="0" w:after="0"/>
        <w:ind w:firstLine="720"/>
        <w:jc w:val="both"/>
        <w:rPr>
          <w:sz w:val="28"/>
          <w:szCs w:val="28"/>
          <w:lang w:val="en-GB"/>
        </w:rPr>
      </w:pPr>
    </w:p>
    <w:p w:rsidR="00A11E67" w:rsidRPr="00A11E67" w:rsidRDefault="008872CD" w:rsidP="00D425E8">
      <w:pPr>
        <w:jc w:val="center"/>
        <w:rPr>
          <w:lang w:val="en-GB"/>
        </w:rPr>
      </w:pPr>
      <w:r>
        <w:rPr>
          <w:noProof/>
          <w:lang w:val="ru-RU" w:eastAsia="ru-RU" w:bidi="ar-SA"/>
        </w:rPr>
        <w:drawing>
          <wp:inline distT="0" distB="0" distL="0" distR="0">
            <wp:extent cx="4776470" cy="3466465"/>
            <wp:effectExtent l="0" t="0" r="5080" b="635"/>
            <wp:docPr id="40" name="Рисунок 1" descr="ÐÐ°ÑÑÐ¸Ð½ÐºÐ¸ Ð¿Ð¾ Ð·Ð°Ð¿ÑÐ¾ÑÑ Toxic heavy me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Toxic heavy metal"/>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776470" cy="3466465"/>
                    </a:xfrm>
                    <a:prstGeom prst="rect">
                      <a:avLst/>
                    </a:prstGeom>
                    <a:noFill/>
                    <a:ln>
                      <a:noFill/>
                    </a:ln>
                  </pic:spPr>
                </pic:pic>
              </a:graphicData>
            </a:graphic>
          </wp:inline>
        </w:drawing>
      </w:r>
    </w:p>
    <w:p w:rsidR="00A11E67" w:rsidRPr="00A11E67" w:rsidRDefault="00A11E67" w:rsidP="00A11E67">
      <w:pPr>
        <w:rPr>
          <w:lang w:val="en-GB"/>
        </w:rPr>
      </w:pPr>
    </w:p>
    <w:p w:rsidR="000C05D1"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sz w:val="28"/>
          <w:szCs w:val="28"/>
          <w:lang w:val="en-GB"/>
        </w:rPr>
        <w:t>Arsenic</w:t>
      </w:r>
      <w:r w:rsidRPr="00556AA6">
        <w:rPr>
          <w:rFonts w:ascii="Times New Roman" w:hAnsi="Times New Roman" w:cs="Times New Roman"/>
          <w:b w:val="0"/>
          <w:bCs w:val="0"/>
          <w:color w:val="auto"/>
          <w:sz w:val="28"/>
          <w:szCs w:val="28"/>
          <w:lang w:val="en-GB"/>
        </w:rPr>
        <w:t xml:space="preserve"> </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Environmental Occurrence, Industrial Production and Use</w:t>
      </w:r>
    </w:p>
    <w:p w:rsidR="000C05D1" w:rsidRPr="00556AA6" w:rsidRDefault="000C05D1" w:rsidP="000C05D1">
      <w:pPr>
        <w:pStyle w:val="pp-first-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Arsenic is a ubiquitous element that is detected at low concentrations in virtually all environmental matrices [</w:t>
      </w:r>
      <w:hyperlink r:id="rId116" w:anchor="R33" w:history="1">
        <w:r w:rsidRPr="00556AA6">
          <w:rPr>
            <w:rStyle w:val="ac"/>
            <w:color w:val="auto"/>
            <w:sz w:val="28"/>
            <w:szCs w:val="28"/>
            <w:lang w:val="en-GB"/>
          </w:rPr>
          <w:t>33</w:t>
        </w:r>
      </w:hyperlink>
      <w:r w:rsidRPr="00556AA6">
        <w:rPr>
          <w:sz w:val="28"/>
          <w:szCs w:val="28"/>
          <w:lang w:val="en-GB"/>
        </w:rPr>
        <w:t>]. The major inorganic forms of arsenic include the trivalent arsenite and the pentavalent arsenate. The organic forms are the methylated metabolites – monomethylarsonic acid (MMA), dimethylarsinic acid (DMA) and trimethylarsine oxide. Environmental pollution by arsenic occurs as a result of natural phenomena such as volcanic eruptions and soil erosion, and anthropogenic activities [</w:t>
      </w:r>
      <w:hyperlink r:id="rId117" w:anchor="R33" w:history="1">
        <w:r w:rsidRPr="00556AA6">
          <w:rPr>
            <w:rStyle w:val="ac"/>
            <w:color w:val="auto"/>
            <w:sz w:val="28"/>
            <w:szCs w:val="28"/>
            <w:lang w:val="en-GB"/>
          </w:rPr>
          <w:t>33</w:t>
        </w:r>
      </w:hyperlink>
      <w:r w:rsidRPr="00556AA6">
        <w:rPr>
          <w:sz w:val="28"/>
          <w:szCs w:val="28"/>
          <w:lang w:val="en-GB"/>
        </w:rPr>
        <w:t>]. Several arsenic-containing compounds are produced industrially, and have been used to manufacture products with agricultural applications such as insecticides, herbicides, fungicides, algicides, sheep dips, wood preservatives, and dye-stuffs. They have also been used in veterinary medicine for the eradication of tapeworms in sheep and cattle [</w:t>
      </w:r>
      <w:hyperlink r:id="rId118" w:anchor="R34" w:history="1">
        <w:r w:rsidRPr="00556AA6">
          <w:rPr>
            <w:rStyle w:val="ac"/>
            <w:color w:val="auto"/>
            <w:sz w:val="28"/>
            <w:szCs w:val="28"/>
            <w:lang w:val="en-GB"/>
          </w:rPr>
          <w:t>34</w:t>
        </w:r>
      </w:hyperlink>
      <w:r w:rsidRPr="00556AA6">
        <w:rPr>
          <w:sz w:val="28"/>
          <w:szCs w:val="28"/>
          <w:lang w:val="en-GB"/>
        </w:rPr>
        <w:t>]. Arsenic compounds have also been used in the medical field for at least a century in the treatment of syphilis, yaws, amoebic dysentery, and trypanosomaiasis [</w:t>
      </w:r>
      <w:hyperlink r:id="rId119" w:anchor="R34" w:history="1">
        <w:r w:rsidRPr="00556AA6">
          <w:rPr>
            <w:rStyle w:val="ac"/>
            <w:color w:val="auto"/>
            <w:sz w:val="28"/>
            <w:szCs w:val="28"/>
            <w:lang w:val="en-GB"/>
          </w:rPr>
          <w:t>34</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"R35" </w:instrText>
      </w:r>
      <w:r w:rsidRPr="00556AA6">
        <w:rPr>
          <w:sz w:val="28"/>
          <w:szCs w:val="28"/>
        </w:rPr>
        <w:fldChar w:fldCharType="separate"/>
      </w:r>
      <w:r w:rsidRPr="00556AA6">
        <w:rPr>
          <w:rStyle w:val="ac"/>
          <w:color w:val="auto"/>
          <w:sz w:val="28"/>
          <w:szCs w:val="28"/>
          <w:lang w:val="en-GB"/>
        </w:rPr>
        <w:t>35</w:t>
      </w:r>
      <w:r w:rsidRPr="00556AA6">
        <w:rPr>
          <w:sz w:val="28"/>
          <w:szCs w:val="28"/>
        </w:rPr>
        <w:fldChar w:fldCharType="end"/>
      </w:r>
      <w:r w:rsidRPr="00556AA6">
        <w:rPr>
          <w:sz w:val="28"/>
          <w:szCs w:val="28"/>
          <w:lang w:val="en-GB"/>
        </w:rPr>
        <w:t>]. Arsenic-based drugs are still used in treating certain tropical diseases such as African sleeping sickness and amoebic dysentery, and in veterinary medicine to treat parasitic diseases, including filariasis in dogs and black head in turkeys and chickens [</w:t>
      </w:r>
      <w:hyperlink r:id="rId120" w:anchor="R35" w:history="1">
        <w:r w:rsidRPr="00556AA6">
          <w:rPr>
            <w:rStyle w:val="ac"/>
            <w:color w:val="auto"/>
            <w:sz w:val="28"/>
            <w:szCs w:val="28"/>
            <w:lang w:val="en-GB"/>
          </w:rPr>
          <w:t>35</w:t>
        </w:r>
      </w:hyperlink>
      <w:r w:rsidRPr="00556AA6">
        <w:rPr>
          <w:sz w:val="28"/>
          <w:szCs w:val="28"/>
          <w:lang w:val="en-GB"/>
        </w:rPr>
        <w:t xml:space="preserve">]. Recently, arsenic trioxide has been approved by the Food and Drug Administration as an anticancer agent in the treatment of acute promeylocytic </w:t>
      </w:r>
      <w:r w:rsidRPr="00556AA6">
        <w:rPr>
          <w:sz w:val="28"/>
          <w:szCs w:val="28"/>
          <w:lang w:val="en-GB"/>
        </w:rPr>
        <w:lastRenderedPageBreak/>
        <w:t>leukemia [</w:t>
      </w:r>
      <w:hyperlink r:id="rId121" w:anchor="R36" w:history="1">
        <w:r w:rsidRPr="00556AA6">
          <w:rPr>
            <w:rStyle w:val="ac"/>
            <w:color w:val="auto"/>
            <w:sz w:val="28"/>
            <w:szCs w:val="28"/>
            <w:lang w:val="en-GB"/>
          </w:rPr>
          <w:t>36</w:t>
        </w:r>
      </w:hyperlink>
      <w:r w:rsidRPr="00556AA6">
        <w:rPr>
          <w:sz w:val="28"/>
          <w:szCs w:val="28"/>
          <w:lang w:val="en-GB"/>
        </w:rPr>
        <w:t>]. Its therapeutic action has been attributed to the induction of programmed cell death (apoptosis) in leukemia cells [</w:t>
      </w:r>
      <w:hyperlink r:id="rId122" w:anchor="R24" w:history="1">
        <w:r w:rsidRPr="00556AA6">
          <w:rPr>
            <w:rStyle w:val="ac"/>
            <w:color w:val="auto"/>
            <w:sz w:val="28"/>
            <w:szCs w:val="28"/>
            <w:lang w:val="en-GB"/>
          </w:rPr>
          <w:t>24</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Potential for Human Exposure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It is estimated that several million people are exposed to arsenic chronically throughout the world, especially in countries like </w:t>
      </w:r>
      <w:smartTag w:uri="urn:schemas-microsoft-com:office:smarttags" w:element="country-region">
        <w:r w:rsidRPr="00556AA6">
          <w:rPr>
            <w:sz w:val="28"/>
            <w:szCs w:val="28"/>
            <w:lang w:val="en-GB"/>
          </w:rPr>
          <w:t>Bangladesh</w:t>
        </w:r>
      </w:smartTag>
      <w:r w:rsidRPr="00556AA6">
        <w:rPr>
          <w:sz w:val="28"/>
          <w:szCs w:val="28"/>
          <w:lang w:val="en-GB"/>
        </w:rPr>
        <w:t xml:space="preserve">, </w:t>
      </w:r>
      <w:smartTag w:uri="urn:schemas-microsoft-com:office:smarttags" w:element="country-region">
        <w:r w:rsidRPr="00556AA6">
          <w:rPr>
            <w:sz w:val="28"/>
            <w:szCs w:val="28"/>
            <w:lang w:val="en-GB"/>
          </w:rPr>
          <w:t>India</w:t>
        </w:r>
      </w:smartTag>
      <w:r w:rsidRPr="00556AA6">
        <w:rPr>
          <w:sz w:val="28"/>
          <w:szCs w:val="28"/>
          <w:lang w:val="en-GB"/>
        </w:rPr>
        <w:t xml:space="preserve">, </w:t>
      </w:r>
      <w:smartTag w:uri="urn:schemas-microsoft-com:office:smarttags" w:element="country-region">
        <w:r w:rsidRPr="00556AA6">
          <w:rPr>
            <w:sz w:val="28"/>
            <w:szCs w:val="28"/>
            <w:lang w:val="en-GB"/>
          </w:rPr>
          <w:t>Chile</w:t>
        </w:r>
      </w:smartTag>
      <w:r w:rsidRPr="00556AA6">
        <w:rPr>
          <w:sz w:val="28"/>
          <w:szCs w:val="28"/>
          <w:lang w:val="en-GB"/>
        </w:rPr>
        <w:t xml:space="preserve">, </w:t>
      </w:r>
      <w:smartTag w:uri="urn:schemas-microsoft-com:office:smarttags" w:element="country-region">
        <w:r w:rsidRPr="00556AA6">
          <w:rPr>
            <w:sz w:val="28"/>
            <w:szCs w:val="28"/>
            <w:lang w:val="en-GB"/>
          </w:rPr>
          <w:t>Uruguay</w:t>
        </w:r>
      </w:smartTag>
      <w:r w:rsidRPr="00556AA6">
        <w:rPr>
          <w:sz w:val="28"/>
          <w:szCs w:val="28"/>
          <w:lang w:val="en-GB"/>
        </w:rPr>
        <w:t xml:space="preserve">, </w:t>
      </w:r>
      <w:smartTag w:uri="urn:schemas-microsoft-com:office:smarttags" w:element="country-region">
        <w:r w:rsidRPr="00556AA6">
          <w:rPr>
            <w:sz w:val="28"/>
            <w:szCs w:val="28"/>
            <w:lang w:val="en-GB"/>
          </w:rPr>
          <w:t>Mexico</w:t>
        </w:r>
      </w:smartTag>
      <w:r w:rsidRPr="00556AA6">
        <w:rPr>
          <w:sz w:val="28"/>
          <w:szCs w:val="28"/>
          <w:lang w:val="en-GB"/>
        </w:rPr>
        <w:t xml:space="preserve">, </w:t>
      </w:r>
      <w:proofErr w:type="gramStart"/>
      <w:r w:rsidRPr="00556AA6">
        <w:rPr>
          <w:sz w:val="28"/>
          <w:szCs w:val="28"/>
          <w:lang w:val="en-GB"/>
        </w:rPr>
        <w:t>Taiwan</w:t>
      </w:r>
      <w:proofErr w:type="gramEnd"/>
      <w:r w:rsidRPr="00556AA6">
        <w:rPr>
          <w:sz w:val="28"/>
          <w:szCs w:val="28"/>
          <w:lang w:val="en-GB"/>
        </w:rPr>
        <w:t>, where the ground water is contaminated with high concentrations of arsenic. Exposure to arsenic occurs via the oral route (ingestion), inhalation, dermal contact, and the parenteral route to some extent [</w:t>
      </w:r>
      <w:hyperlink r:id="rId123" w:anchor="R33" w:history="1">
        <w:r w:rsidRPr="00556AA6">
          <w:rPr>
            <w:rStyle w:val="ac"/>
            <w:color w:val="auto"/>
            <w:sz w:val="28"/>
            <w:szCs w:val="28"/>
            <w:lang w:val="en-GB"/>
          </w:rPr>
          <w:t>33</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"R34" </w:instrText>
      </w:r>
      <w:r w:rsidRPr="00556AA6">
        <w:rPr>
          <w:sz w:val="28"/>
          <w:szCs w:val="28"/>
        </w:rPr>
        <w:fldChar w:fldCharType="separate"/>
      </w:r>
      <w:r w:rsidRPr="00556AA6">
        <w:rPr>
          <w:rStyle w:val="ac"/>
          <w:color w:val="auto"/>
          <w:sz w:val="28"/>
          <w:szCs w:val="28"/>
          <w:lang w:val="en-GB"/>
        </w:rPr>
        <w:t>34</w:t>
      </w:r>
      <w:r w:rsidRPr="00556AA6">
        <w:rPr>
          <w:sz w:val="28"/>
          <w:szCs w:val="28"/>
        </w:rPr>
        <w:fldChar w:fldCharType="end"/>
      </w:r>
      <w:r w:rsidRPr="00556AA6">
        <w:rPr>
          <w:sz w:val="28"/>
          <w:szCs w:val="28"/>
          <w:lang w:val="en-GB"/>
        </w:rPr>
        <w:t>,</w:t>
      </w:r>
      <w:hyperlink r:id="rId124" w:anchor="R37" w:history="1">
        <w:r w:rsidRPr="00556AA6">
          <w:rPr>
            <w:rStyle w:val="ac"/>
            <w:color w:val="auto"/>
            <w:sz w:val="28"/>
            <w:szCs w:val="28"/>
            <w:lang w:val="en-GB"/>
          </w:rPr>
          <w:t>37</w:t>
        </w:r>
      </w:hyperlink>
      <w:r w:rsidRPr="00556AA6">
        <w:rPr>
          <w:sz w:val="28"/>
          <w:szCs w:val="28"/>
          <w:lang w:val="en-GB"/>
        </w:rPr>
        <w:t xml:space="preserve">]. </w:t>
      </w:r>
      <w:proofErr w:type="gramStart"/>
      <w:r w:rsidRPr="00556AA6">
        <w:rPr>
          <w:sz w:val="28"/>
          <w:szCs w:val="28"/>
          <w:lang w:val="en-GB"/>
        </w:rPr>
        <w:t>Arsenic concentrations in air range from 1 to 3 ng/m</w:t>
      </w:r>
      <w:r w:rsidRPr="00556AA6">
        <w:rPr>
          <w:sz w:val="28"/>
          <w:szCs w:val="28"/>
          <w:vertAlign w:val="superscript"/>
          <w:lang w:val="en-GB"/>
        </w:rPr>
        <w:t>3</w:t>
      </w:r>
      <w:r w:rsidRPr="00556AA6">
        <w:rPr>
          <w:sz w:val="28"/>
          <w:szCs w:val="28"/>
          <w:lang w:val="en-GB"/>
        </w:rPr>
        <w:t> in remote locations (away from human releases), and from 20 to 100 ng/m</w:t>
      </w:r>
      <w:r w:rsidRPr="00556AA6">
        <w:rPr>
          <w:sz w:val="28"/>
          <w:szCs w:val="28"/>
          <w:vertAlign w:val="superscript"/>
          <w:lang w:val="en-GB"/>
        </w:rPr>
        <w:t>3</w:t>
      </w:r>
      <w:r w:rsidRPr="00556AA6">
        <w:rPr>
          <w:sz w:val="28"/>
          <w:szCs w:val="28"/>
          <w:lang w:val="en-GB"/>
        </w:rPr>
        <w:t> in cities.</w:t>
      </w:r>
      <w:proofErr w:type="gramEnd"/>
      <w:r w:rsidRPr="00556AA6">
        <w:rPr>
          <w:sz w:val="28"/>
          <w:szCs w:val="28"/>
          <w:lang w:val="en-GB"/>
        </w:rPr>
        <w:t xml:space="preserve"> Its water concentration is usually less than 10µg/L, although higher levels can occur near natural mineral deposits or mining sites. Its concentration in various foods ranges from 20 to 140 ng/kg [</w:t>
      </w:r>
      <w:hyperlink r:id="rId125" w:anchor="R38" w:history="1">
        <w:r w:rsidRPr="00556AA6">
          <w:rPr>
            <w:rStyle w:val="ac"/>
            <w:color w:val="auto"/>
            <w:sz w:val="28"/>
            <w:szCs w:val="28"/>
            <w:lang w:val="en-GB"/>
          </w:rPr>
          <w:t>38</w:t>
        </w:r>
      </w:hyperlink>
      <w:r w:rsidRPr="00556AA6">
        <w:rPr>
          <w:sz w:val="28"/>
          <w:szCs w:val="28"/>
          <w:lang w:val="en-GB"/>
        </w:rPr>
        <w:t>]. Natural levels of arsenic in soil usually range from 1 to 40 mg/kg, but pesticide application or waste disposal can produce much higher values [</w:t>
      </w:r>
      <w:hyperlink r:id="rId126" w:anchor="R25" w:history="1">
        <w:r w:rsidRPr="00556AA6">
          <w:rPr>
            <w:rStyle w:val="ac"/>
            <w:color w:val="auto"/>
            <w:sz w:val="28"/>
            <w:szCs w:val="28"/>
            <w:lang w:val="en-GB"/>
          </w:rPr>
          <w:t>25</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Diet, for most individuals, is the largest source of exposure, with an average intake of about 50 µg per day. Intake from air, water and soil are usually much smaller, but exposure from these media may become significant in areas of arsenic contamination. Workers who produce or use arsenic compounds in such occupations as vineyards, ceramics, glass-making, smelting, refining of metallic ores, pesticide manufacturing and application, wood preservation, semiconductor manufacturing can be exposed to substantially higher levels of arsenic [</w:t>
      </w:r>
      <w:hyperlink r:id="rId127" w:anchor="R39" w:history="1">
        <w:r w:rsidRPr="00556AA6">
          <w:rPr>
            <w:rStyle w:val="ac"/>
            <w:color w:val="auto"/>
            <w:sz w:val="28"/>
            <w:szCs w:val="28"/>
            <w:lang w:val="en-GB"/>
          </w:rPr>
          <w:t>39</w:t>
        </w:r>
      </w:hyperlink>
      <w:r w:rsidRPr="00556AA6">
        <w:rPr>
          <w:sz w:val="28"/>
          <w:szCs w:val="28"/>
          <w:lang w:val="en-GB"/>
        </w:rPr>
        <w:t>]. Arsenic has also been identified at 781 sites of the 1,300 hazardous waste sites that have been proposed by the U.S. EPA for inclusion on the national priority list [</w:t>
      </w:r>
      <w:hyperlink r:id="rId128" w:anchor="R33" w:history="1">
        <w:r w:rsidRPr="00556AA6">
          <w:rPr>
            <w:rStyle w:val="ac"/>
            <w:color w:val="auto"/>
            <w:sz w:val="28"/>
            <w:szCs w:val="28"/>
            <w:lang w:val="en-GB"/>
          </w:rPr>
          <w:t>33</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"R39" </w:instrText>
      </w:r>
      <w:r w:rsidRPr="00556AA6">
        <w:rPr>
          <w:sz w:val="28"/>
          <w:szCs w:val="28"/>
        </w:rPr>
        <w:fldChar w:fldCharType="separate"/>
      </w:r>
      <w:r w:rsidRPr="00556AA6">
        <w:rPr>
          <w:rStyle w:val="ac"/>
          <w:color w:val="auto"/>
          <w:sz w:val="28"/>
          <w:szCs w:val="28"/>
          <w:lang w:val="en-GB"/>
        </w:rPr>
        <w:t>39</w:t>
      </w:r>
      <w:r w:rsidRPr="00556AA6">
        <w:rPr>
          <w:sz w:val="28"/>
          <w:szCs w:val="28"/>
        </w:rPr>
        <w:fldChar w:fldCharType="end"/>
      </w:r>
      <w:r w:rsidRPr="00556AA6">
        <w:rPr>
          <w:sz w:val="28"/>
          <w:szCs w:val="28"/>
          <w:lang w:val="en-GB"/>
        </w:rPr>
        <w:t>]. Human exposure at these sites may occur by a variety of pathways, including inhalation of dusts in air, ingestion of contaminated water or soil, or through the food chain [</w:t>
      </w:r>
      <w:hyperlink r:id="rId129" w:anchor="R40" w:history="1">
        <w:r w:rsidRPr="00556AA6">
          <w:rPr>
            <w:rStyle w:val="ac"/>
            <w:color w:val="auto"/>
            <w:sz w:val="28"/>
            <w:szCs w:val="28"/>
            <w:lang w:val="en-GB"/>
          </w:rPr>
          <w:t>40</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Contamination with high levels of arsenic is of concern because arsenic can cause a number of human health effects. Several epidemiological studies have reported a strong association between arsenic exposure and increased risks of both carcinogenic and systemic health effects [</w:t>
      </w:r>
      <w:hyperlink r:id="rId130" w:anchor="R41" w:history="1">
        <w:r w:rsidRPr="00556AA6">
          <w:rPr>
            <w:rStyle w:val="ac"/>
            <w:color w:val="auto"/>
            <w:sz w:val="28"/>
            <w:szCs w:val="28"/>
            <w:lang w:val="en-GB"/>
          </w:rPr>
          <w:t>41</w:t>
        </w:r>
      </w:hyperlink>
      <w:r w:rsidRPr="00556AA6">
        <w:rPr>
          <w:sz w:val="28"/>
          <w:szCs w:val="28"/>
          <w:lang w:val="en-GB"/>
        </w:rPr>
        <w:t>]. Interest in the toxicity of arsenic has been heightened by recent reports of large populations in West Bengal, Bangladesh, Thailand, Inner Mongolia, Taiwan, China, Mexico, Argentina, Chile, Finland and Hungary that have been exposed to high concentrations of arsenic in their drinking water and are displaying various clinico-pathological conditions including cardiovascular and peripheral vascular disease, developmental anomalies, neurologic and neurobehavioural disorders, diabetes, hearing loss, portal fibrosis, hematologic disorders (anemia, leukopenia and eosinophilia) and carcinoma [</w:t>
      </w:r>
      <w:hyperlink r:id="rId131" w:anchor="R25" w:history="1">
        <w:r w:rsidRPr="00556AA6">
          <w:rPr>
            <w:rStyle w:val="ac"/>
            <w:color w:val="auto"/>
            <w:sz w:val="28"/>
            <w:szCs w:val="28"/>
            <w:lang w:val="en-GB"/>
          </w:rPr>
          <w:t>25</w:t>
        </w:r>
      </w:hyperlink>
      <w:r w:rsidRPr="00556AA6">
        <w:rPr>
          <w:sz w:val="28"/>
          <w:szCs w:val="28"/>
          <w:lang w:val="en-GB"/>
        </w:rPr>
        <w:t>, </w:t>
      </w:r>
      <w:hyperlink r:id="rId132" w:anchor="R33" w:history="1">
        <w:r w:rsidRPr="00556AA6">
          <w:rPr>
            <w:rStyle w:val="ac"/>
            <w:color w:val="auto"/>
            <w:sz w:val="28"/>
            <w:szCs w:val="28"/>
            <w:lang w:val="en-GB"/>
          </w:rPr>
          <w:t>33</w:t>
        </w:r>
      </w:hyperlink>
      <w:r w:rsidRPr="00556AA6">
        <w:rPr>
          <w:sz w:val="28"/>
          <w:szCs w:val="28"/>
          <w:lang w:val="en-GB"/>
        </w:rPr>
        <w:t>, </w:t>
      </w:r>
      <w:hyperlink r:id="rId133" w:anchor="R35" w:history="1">
        <w:r w:rsidRPr="00556AA6">
          <w:rPr>
            <w:rStyle w:val="ac"/>
            <w:color w:val="auto"/>
            <w:sz w:val="28"/>
            <w:szCs w:val="28"/>
            <w:lang w:val="en-GB"/>
          </w:rPr>
          <w:t>35</w:t>
        </w:r>
      </w:hyperlink>
      <w:r w:rsidRPr="00556AA6">
        <w:rPr>
          <w:sz w:val="28"/>
          <w:szCs w:val="28"/>
          <w:lang w:val="en-GB"/>
        </w:rPr>
        <w:t>, </w:t>
      </w:r>
      <w:hyperlink r:id="rId134" w:anchor="R39" w:history="1">
        <w:r w:rsidRPr="00556AA6">
          <w:rPr>
            <w:rStyle w:val="ac"/>
            <w:color w:val="auto"/>
            <w:sz w:val="28"/>
            <w:szCs w:val="28"/>
            <w:lang w:val="en-GB"/>
          </w:rPr>
          <w:t>39</w:t>
        </w:r>
      </w:hyperlink>
      <w:r w:rsidRPr="00556AA6">
        <w:rPr>
          <w:sz w:val="28"/>
          <w:szCs w:val="28"/>
          <w:lang w:val="en-GB"/>
        </w:rPr>
        <w:t>]. Arsenic exposure affects virtually all organ systems including the cardiovascular, dermatologic, nervous, hepatobilliary, renal, gastro-intestinal, and respiratory systems [</w:t>
      </w:r>
      <w:hyperlink r:id="rId135" w:anchor="R41" w:history="1">
        <w:r w:rsidRPr="00556AA6">
          <w:rPr>
            <w:rStyle w:val="ac"/>
            <w:color w:val="auto"/>
            <w:sz w:val="28"/>
            <w:szCs w:val="28"/>
            <w:lang w:val="en-GB"/>
          </w:rPr>
          <w:t>41</w:t>
        </w:r>
      </w:hyperlink>
      <w:r w:rsidRPr="00556AA6">
        <w:rPr>
          <w:sz w:val="28"/>
          <w:szCs w:val="28"/>
          <w:lang w:val="en-GB"/>
        </w:rPr>
        <w:t>]. Research has also pointed to significantly higher standardized mortality rates for cancers of the bladder, kidney, skin, and liver in many areas of arsenic pollution. The severity of adverse health effects is related to the chemical form of arsenic, and is also time- and dose-dependent [</w:t>
      </w:r>
      <w:hyperlink r:id="rId136" w:anchor="R42" w:history="1">
        <w:r w:rsidRPr="00556AA6">
          <w:rPr>
            <w:rStyle w:val="ac"/>
            <w:color w:val="auto"/>
            <w:sz w:val="28"/>
            <w:szCs w:val="28"/>
            <w:lang w:val="en-GB"/>
          </w:rPr>
          <w:t>42</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"R43" </w:instrText>
      </w:r>
      <w:r w:rsidRPr="00556AA6">
        <w:rPr>
          <w:sz w:val="28"/>
          <w:szCs w:val="28"/>
        </w:rPr>
        <w:fldChar w:fldCharType="separate"/>
      </w:r>
      <w:r w:rsidRPr="00556AA6">
        <w:rPr>
          <w:rStyle w:val="ac"/>
          <w:color w:val="auto"/>
          <w:sz w:val="28"/>
          <w:szCs w:val="28"/>
          <w:lang w:val="en-GB"/>
        </w:rPr>
        <w:t>43</w:t>
      </w:r>
      <w:r w:rsidRPr="00556AA6">
        <w:rPr>
          <w:sz w:val="28"/>
          <w:szCs w:val="28"/>
        </w:rPr>
        <w:fldChar w:fldCharType="end"/>
      </w:r>
      <w:r w:rsidRPr="00556AA6">
        <w:rPr>
          <w:sz w:val="28"/>
          <w:szCs w:val="28"/>
          <w:lang w:val="en-GB"/>
        </w:rPr>
        <w:t xml:space="preserve">]. Although the evidence of carcinogenicity of arsenic in humans seems </w:t>
      </w:r>
      <w:r w:rsidRPr="00556AA6">
        <w:rPr>
          <w:sz w:val="28"/>
          <w:szCs w:val="28"/>
          <w:lang w:val="en-GB"/>
        </w:rPr>
        <w:lastRenderedPageBreak/>
        <w:t>strong, the mechanism by which it produces tumors in humans is not completely understood [</w:t>
      </w:r>
      <w:hyperlink r:id="rId137" w:anchor="R44" w:history="1">
        <w:r w:rsidRPr="00556AA6">
          <w:rPr>
            <w:rStyle w:val="ac"/>
            <w:color w:val="auto"/>
            <w:sz w:val="28"/>
            <w:szCs w:val="28"/>
            <w:lang w:val="en-GB"/>
          </w:rPr>
          <w:t>44</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Mechanisms of Toxicity and Carcinogenicity</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Analyzing the toxic effects of arsenic is complicated because the toxicity is highly influenced by its oxidation state and solubility, as well as many other intrinsic and extrinsic factors [</w:t>
      </w:r>
      <w:hyperlink r:id="rId138" w:anchor="R45" w:history="1">
        <w:r w:rsidRPr="00556AA6">
          <w:rPr>
            <w:rStyle w:val="ac"/>
            <w:color w:val="auto"/>
            <w:sz w:val="28"/>
            <w:szCs w:val="28"/>
            <w:lang w:val="en-GB"/>
          </w:rPr>
          <w:t>45</w:t>
        </w:r>
      </w:hyperlink>
      <w:r w:rsidRPr="00556AA6">
        <w:rPr>
          <w:sz w:val="28"/>
          <w:szCs w:val="28"/>
          <w:lang w:val="en-GB"/>
        </w:rPr>
        <w:t>]. Several studies have indicated that the toxicity of arsenic depends on the exposure dose, frequency and duration, the biological species, age, and gender, as well as on individual susceptibilities, genetic and nutritional factors [</w:t>
      </w:r>
      <w:hyperlink r:id="rId139" w:anchor="R46" w:history="1">
        <w:r w:rsidRPr="00556AA6">
          <w:rPr>
            <w:rStyle w:val="ac"/>
            <w:color w:val="auto"/>
            <w:sz w:val="28"/>
            <w:szCs w:val="28"/>
            <w:lang w:val="en-GB"/>
          </w:rPr>
          <w:t>46</w:t>
        </w:r>
      </w:hyperlink>
      <w:r w:rsidRPr="00556AA6">
        <w:rPr>
          <w:sz w:val="28"/>
          <w:szCs w:val="28"/>
          <w:lang w:val="en-GB"/>
        </w:rPr>
        <w:t>]. Most cases of human toxicity from arsenic have been associated with exposure to inorganic arsenic. Inorganic trivalent arsenite (As</w:t>
      </w:r>
      <w:r w:rsidRPr="00556AA6">
        <w:rPr>
          <w:sz w:val="28"/>
          <w:szCs w:val="28"/>
          <w:vertAlign w:val="superscript"/>
          <w:lang w:val="en-GB"/>
        </w:rPr>
        <w:t>III</w:t>
      </w:r>
      <w:r w:rsidRPr="00556AA6">
        <w:rPr>
          <w:sz w:val="28"/>
          <w:szCs w:val="28"/>
          <w:lang w:val="en-GB"/>
        </w:rPr>
        <w:t>) is 2–10 times more toxic than pentavalent arsenate (</w:t>
      </w:r>
      <w:proofErr w:type="gramStart"/>
      <w:r w:rsidRPr="00556AA6">
        <w:rPr>
          <w:sz w:val="28"/>
          <w:szCs w:val="28"/>
          <w:lang w:val="en-GB"/>
        </w:rPr>
        <w:t>As</w:t>
      </w:r>
      <w:r w:rsidRPr="00556AA6">
        <w:rPr>
          <w:sz w:val="28"/>
          <w:szCs w:val="28"/>
          <w:vertAlign w:val="superscript"/>
          <w:lang w:val="en-GB"/>
        </w:rPr>
        <w:t>V</w:t>
      </w:r>
      <w:proofErr w:type="gramEnd"/>
      <w:r w:rsidRPr="00556AA6">
        <w:rPr>
          <w:sz w:val="28"/>
          <w:szCs w:val="28"/>
          <w:lang w:val="en-GB"/>
        </w:rPr>
        <w:t>) [</w:t>
      </w:r>
      <w:hyperlink r:id="rId140" w:anchor="R5" w:history="1">
        <w:r w:rsidRPr="00556AA6">
          <w:rPr>
            <w:rStyle w:val="ac"/>
            <w:color w:val="auto"/>
            <w:sz w:val="28"/>
            <w:szCs w:val="28"/>
            <w:lang w:val="en-GB"/>
          </w:rPr>
          <w:t>5</w:t>
        </w:r>
      </w:hyperlink>
      <w:r w:rsidRPr="00556AA6">
        <w:rPr>
          <w:sz w:val="28"/>
          <w:szCs w:val="28"/>
          <w:lang w:val="en-GB"/>
        </w:rPr>
        <w:t>]. By binding to thiol or sulfhydryl groups on proteins, As (III) can inactivate over 200 enzymes. This is the likely mechanism responsible for arsenic’s widespread effects on different organ systems. As (V) can replace phosphate, which is involved in many biochemical pathways [</w:t>
      </w:r>
      <w:hyperlink r:id="rId141" w:anchor="R5" w:history="1">
        <w:r w:rsidRPr="00556AA6">
          <w:rPr>
            <w:rStyle w:val="ac"/>
            <w:color w:val="auto"/>
            <w:sz w:val="28"/>
            <w:szCs w:val="28"/>
            <w:lang w:val="en-GB"/>
          </w:rPr>
          <w:t>5</w:t>
        </w:r>
      </w:hyperlink>
      <w:r w:rsidRPr="00556AA6">
        <w:rPr>
          <w:sz w:val="28"/>
          <w:szCs w:val="28"/>
          <w:lang w:val="en-GB"/>
        </w:rPr>
        <w:t>, </w:t>
      </w:r>
      <w:hyperlink r:id="rId142" w:anchor="R47" w:history="1">
        <w:r w:rsidRPr="00556AA6">
          <w:rPr>
            <w:rStyle w:val="ac"/>
            <w:color w:val="auto"/>
            <w:sz w:val="28"/>
            <w:szCs w:val="28"/>
            <w:lang w:val="en-GB"/>
          </w:rPr>
          <w:t>47</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One of the mechanisms by which arsenic exerts its toxic effect is through impairment of cellular respiration by the inhibition of various mitochondrial enzymes, and the uncoupling of oxidative phosphorylation. Most toxicity of arsenic results from its ability to interact with sulfhydryl groups of proteins and enzymes, and to substitute phosphorous in a variety of biochemical reactions [</w:t>
      </w:r>
      <w:hyperlink r:id="rId143" w:anchor="R48" w:history="1">
        <w:r w:rsidRPr="00556AA6">
          <w:rPr>
            <w:rStyle w:val="ac"/>
            <w:color w:val="auto"/>
            <w:sz w:val="28"/>
            <w:szCs w:val="28"/>
            <w:lang w:val="en-GB"/>
          </w:rPr>
          <w:t>48</w:t>
        </w:r>
      </w:hyperlink>
      <w:r w:rsidRPr="00556AA6">
        <w:rPr>
          <w:sz w:val="28"/>
          <w:szCs w:val="28"/>
          <w:lang w:val="en-GB"/>
        </w:rPr>
        <w:t>]. Arsenic </w:t>
      </w:r>
      <w:r w:rsidRPr="00556AA6">
        <w:rPr>
          <w:rStyle w:val="af4"/>
          <w:sz w:val="28"/>
          <w:szCs w:val="28"/>
          <w:lang w:val="en-GB"/>
        </w:rPr>
        <w:t>in vitro</w:t>
      </w:r>
      <w:r w:rsidRPr="00556AA6">
        <w:rPr>
          <w:sz w:val="28"/>
          <w:szCs w:val="28"/>
          <w:lang w:val="en-GB"/>
        </w:rPr>
        <w:t> reacts with protein sulfhydryl groups to inactivate enzymes, such as dihydrolipoyl dehydrogenase and thiolase, thereby producing inhibited oxidation of pyruvate and betaoxidation of fatty acids [</w:t>
      </w:r>
      <w:hyperlink r:id="rId144" w:anchor="R49" w:history="1">
        <w:r w:rsidRPr="00556AA6">
          <w:rPr>
            <w:rStyle w:val="ac"/>
            <w:color w:val="auto"/>
            <w:sz w:val="28"/>
            <w:szCs w:val="28"/>
            <w:lang w:val="en-GB"/>
          </w:rPr>
          <w:t>49</w:t>
        </w:r>
      </w:hyperlink>
      <w:r w:rsidRPr="00556AA6">
        <w:rPr>
          <w:sz w:val="28"/>
          <w:szCs w:val="28"/>
          <w:lang w:val="en-GB"/>
        </w:rPr>
        <w:t>]. The major metabolic pathway for inorganic arsenic in humans is methylation. Arsenic trioxide is methylated to two major metabolites via a non-enzymatic process to monomethylarsonic acid (MMA), which is further methylated enzymatically to dimethyl arsenic acid (DMA) before excretion in the urine [</w:t>
      </w:r>
      <w:hyperlink r:id="rId145" w:anchor="R40" w:history="1">
        <w:r w:rsidRPr="00556AA6">
          <w:rPr>
            <w:rStyle w:val="ac"/>
            <w:color w:val="auto"/>
            <w:sz w:val="28"/>
            <w:szCs w:val="28"/>
            <w:lang w:val="en-GB"/>
          </w:rPr>
          <w:t>40</w:t>
        </w:r>
      </w:hyperlink>
      <w:r w:rsidRPr="00556AA6">
        <w:rPr>
          <w:sz w:val="28"/>
          <w:szCs w:val="28"/>
          <w:lang w:val="en-GB"/>
        </w:rPr>
        <w:t>, </w:t>
      </w:r>
      <w:hyperlink r:id="rId146" w:anchor="R47" w:history="1">
        <w:r w:rsidRPr="00556AA6">
          <w:rPr>
            <w:rStyle w:val="ac"/>
            <w:color w:val="auto"/>
            <w:sz w:val="28"/>
            <w:szCs w:val="28"/>
            <w:lang w:val="en-GB"/>
          </w:rPr>
          <w:t>47</w:t>
        </w:r>
      </w:hyperlink>
      <w:r w:rsidRPr="00556AA6">
        <w:rPr>
          <w:sz w:val="28"/>
          <w:szCs w:val="28"/>
          <w:lang w:val="en-GB"/>
        </w:rPr>
        <w:t>]. It was previously thought that this methylation process is a pathway of arsenic detoxification, however, recent studies have pointed out that some methylated metabolites may be more toxic than arsenite if they contain trivalent forms of arsenic [</w:t>
      </w:r>
      <w:hyperlink r:id="rId147" w:anchor="R41" w:history="1">
        <w:r w:rsidRPr="00556AA6">
          <w:rPr>
            <w:rStyle w:val="ac"/>
            <w:color w:val="auto"/>
            <w:sz w:val="28"/>
            <w:szCs w:val="28"/>
            <w:lang w:val="en-GB"/>
          </w:rPr>
          <w:t>41</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Tests for genotoxicity have indicated that arsenic compounds inhibit DNA repair, and induce chromosomal aberrations, sister-chromatid exchanges, and micronuclei formation in both human and rodent cells in culture [</w:t>
      </w:r>
      <w:hyperlink r:id="rId148" w:anchor="R50" w:history="1">
        <w:r w:rsidRPr="00556AA6">
          <w:rPr>
            <w:rStyle w:val="ac"/>
            <w:color w:val="auto"/>
            <w:sz w:val="28"/>
            <w:szCs w:val="28"/>
            <w:lang w:val="en-GB"/>
          </w:rPr>
          <w:t>50</w:t>
        </w:r>
      </w:hyperlink>
      <w:r w:rsidRPr="00556AA6">
        <w:rPr>
          <w:sz w:val="28"/>
          <w:szCs w:val="28"/>
          <w:lang w:val="en-GB"/>
        </w:rPr>
        <w:t>–</w:t>
      </w:r>
      <w:hyperlink r:id="rId149" w:anchor="R52" w:history="1">
        <w:r w:rsidRPr="00556AA6">
          <w:rPr>
            <w:rStyle w:val="ac"/>
            <w:color w:val="auto"/>
            <w:sz w:val="28"/>
            <w:szCs w:val="28"/>
            <w:lang w:val="en-GB"/>
          </w:rPr>
          <w:t>52</w:t>
        </w:r>
      </w:hyperlink>
      <w:r w:rsidRPr="00556AA6">
        <w:rPr>
          <w:sz w:val="28"/>
          <w:szCs w:val="28"/>
          <w:lang w:val="en-GB"/>
        </w:rPr>
        <w:t>] and in cells of exposed humans [</w:t>
      </w:r>
      <w:hyperlink r:id="rId150" w:anchor="R53" w:history="1">
        <w:r w:rsidRPr="00556AA6">
          <w:rPr>
            <w:rStyle w:val="ac"/>
            <w:color w:val="auto"/>
            <w:sz w:val="28"/>
            <w:szCs w:val="28"/>
            <w:lang w:val="en-GB"/>
          </w:rPr>
          <w:t>53</w:t>
        </w:r>
      </w:hyperlink>
      <w:r w:rsidRPr="00556AA6">
        <w:rPr>
          <w:sz w:val="28"/>
          <w:szCs w:val="28"/>
          <w:lang w:val="en-GB"/>
        </w:rPr>
        <w:t>]. Reversion assays with </w:t>
      </w:r>
      <w:r w:rsidRPr="00556AA6">
        <w:rPr>
          <w:rStyle w:val="af4"/>
          <w:sz w:val="28"/>
          <w:szCs w:val="28"/>
          <w:lang w:val="en-GB"/>
        </w:rPr>
        <w:t>Salmonella typhimurium</w:t>
      </w:r>
      <w:r w:rsidRPr="00556AA6">
        <w:rPr>
          <w:sz w:val="28"/>
          <w:szCs w:val="28"/>
          <w:lang w:val="en-GB"/>
        </w:rPr>
        <w:t> fail to detect mutations that are induced by arsenic compounds. Although arsenic compounds are generally perceived as weak mutagens in bacterial and animal cells, they exhibit clastogenic properties in many cell types </w:t>
      </w:r>
      <w:r w:rsidRPr="00556AA6">
        <w:rPr>
          <w:rStyle w:val="af4"/>
          <w:sz w:val="28"/>
          <w:szCs w:val="28"/>
          <w:lang w:val="en-GB"/>
        </w:rPr>
        <w:t>in vivo</w:t>
      </w:r>
      <w:r w:rsidRPr="00556AA6">
        <w:rPr>
          <w:sz w:val="28"/>
          <w:szCs w:val="28"/>
          <w:lang w:val="en-GB"/>
        </w:rPr>
        <w:t> and </w:t>
      </w:r>
      <w:r w:rsidRPr="00556AA6">
        <w:rPr>
          <w:rStyle w:val="af4"/>
          <w:sz w:val="28"/>
          <w:szCs w:val="28"/>
          <w:lang w:val="en-GB"/>
        </w:rPr>
        <w:t>in vitro</w:t>
      </w:r>
      <w:r w:rsidRPr="00556AA6">
        <w:rPr>
          <w:sz w:val="28"/>
          <w:szCs w:val="28"/>
          <w:lang w:val="en-GB"/>
        </w:rPr>
        <w:t> [</w:t>
      </w:r>
      <w:hyperlink r:id="rId151" w:anchor="R54" w:history="1">
        <w:r w:rsidRPr="00556AA6">
          <w:rPr>
            <w:rStyle w:val="ac"/>
            <w:color w:val="auto"/>
            <w:sz w:val="28"/>
            <w:szCs w:val="28"/>
            <w:lang w:val="en-GB"/>
          </w:rPr>
          <w:t>54</w:t>
        </w:r>
      </w:hyperlink>
      <w:r w:rsidRPr="00556AA6">
        <w:rPr>
          <w:sz w:val="28"/>
          <w:szCs w:val="28"/>
          <w:lang w:val="en-GB"/>
        </w:rPr>
        <w:t>]. In the absence of animal models, </w:t>
      </w:r>
      <w:r w:rsidRPr="00556AA6">
        <w:rPr>
          <w:rStyle w:val="af4"/>
          <w:sz w:val="28"/>
          <w:szCs w:val="28"/>
          <w:lang w:val="en-GB"/>
        </w:rPr>
        <w:t>in vitro</w:t>
      </w:r>
      <w:r w:rsidRPr="00556AA6">
        <w:rPr>
          <w:sz w:val="28"/>
          <w:szCs w:val="28"/>
          <w:lang w:val="en-GB"/>
        </w:rPr>
        <w:t> cell transformation studies become a useful means of obtaining information on the carcinogenic mechanisms of arsenic toxicity. Arsenic and arsenical compounds are cytotoxic and induce morphological transformations of Syrian hamster embryo (SHE) cells as well as mouse C</w:t>
      </w:r>
      <w:r w:rsidRPr="00556AA6">
        <w:rPr>
          <w:sz w:val="28"/>
          <w:szCs w:val="28"/>
          <w:vertAlign w:val="subscript"/>
          <w:lang w:val="en-GB"/>
        </w:rPr>
        <w:t>3</w:t>
      </w:r>
      <w:r w:rsidRPr="00556AA6">
        <w:rPr>
          <w:sz w:val="28"/>
          <w:szCs w:val="28"/>
          <w:lang w:val="en-GB"/>
        </w:rPr>
        <w:t>H</w:t>
      </w:r>
      <w:r w:rsidRPr="00556AA6">
        <w:rPr>
          <w:sz w:val="28"/>
          <w:szCs w:val="28"/>
          <w:vertAlign w:val="subscript"/>
          <w:lang w:val="en-GB"/>
        </w:rPr>
        <w:t>10</w:t>
      </w:r>
      <w:r w:rsidRPr="00556AA6">
        <w:rPr>
          <w:sz w:val="28"/>
          <w:szCs w:val="28"/>
          <w:lang w:val="en-GB"/>
        </w:rPr>
        <w:t>T1/2 cells and BALB/3T3 cells [</w:t>
      </w:r>
      <w:hyperlink r:id="rId152" w:anchor="R55" w:history="1">
        <w:r w:rsidRPr="00556AA6">
          <w:rPr>
            <w:rStyle w:val="ac"/>
            <w:color w:val="auto"/>
            <w:sz w:val="28"/>
            <w:szCs w:val="28"/>
            <w:lang w:val="en-GB"/>
          </w:rPr>
          <w:t>55</w:t>
        </w:r>
      </w:hyperlink>
      <w:r w:rsidRPr="00556AA6">
        <w:rPr>
          <w:sz w:val="28"/>
          <w:szCs w:val="28"/>
          <w:lang w:val="en-GB"/>
        </w:rPr>
        <w:t>, </w:t>
      </w:r>
      <w:hyperlink r:id="rId153" w:anchor="R56" w:history="1">
        <w:r w:rsidRPr="00556AA6">
          <w:rPr>
            <w:rStyle w:val="ac"/>
            <w:color w:val="auto"/>
            <w:sz w:val="28"/>
            <w:szCs w:val="28"/>
            <w:lang w:val="en-GB"/>
          </w:rPr>
          <w:t>56</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Based on the comet assay, it has been reported that arsenic trioxide induces DNA damage in human lymphophytes [</w:t>
      </w:r>
      <w:hyperlink r:id="rId154" w:anchor="R57" w:history="1">
        <w:r w:rsidRPr="00556AA6">
          <w:rPr>
            <w:rStyle w:val="ac"/>
            <w:color w:val="auto"/>
            <w:sz w:val="28"/>
            <w:szCs w:val="28"/>
            <w:lang w:val="en-GB"/>
          </w:rPr>
          <w:t>57</w:t>
        </w:r>
      </w:hyperlink>
      <w:r w:rsidRPr="00556AA6">
        <w:rPr>
          <w:sz w:val="28"/>
          <w:szCs w:val="28"/>
          <w:lang w:val="en-GB"/>
        </w:rPr>
        <w:t>] and also in mice leukocytes [</w:t>
      </w:r>
      <w:hyperlink r:id="rId155" w:anchor="R58" w:history="1">
        <w:r w:rsidRPr="00556AA6">
          <w:rPr>
            <w:rStyle w:val="ac"/>
            <w:color w:val="auto"/>
            <w:sz w:val="28"/>
            <w:szCs w:val="28"/>
            <w:lang w:val="en-GB"/>
          </w:rPr>
          <w:t>58</w:t>
        </w:r>
      </w:hyperlink>
      <w:r w:rsidRPr="00556AA6">
        <w:rPr>
          <w:sz w:val="28"/>
          <w:szCs w:val="28"/>
          <w:lang w:val="en-GB"/>
        </w:rPr>
        <w:t xml:space="preserve">]. </w:t>
      </w:r>
      <w:r w:rsidRPr="00556AA6">
        <w:rPr>
          <w:sz w:val="28"/>
          <w:szCs w:val="28"/>
          <w:lang w:val="en-GB"/>
        </w:rPr>
        <w:lastRenderedPageBreak/>
        <w:t>Arsenic compounds have also been shown to induce gene amplification, arrest cells in mitosis, inhibit DNA repair, and induce expression of the </w:t>
      </w:r>
      <w:r w:rsidRPr="00556AA6">
        <w:rPr>
          <w:rStyle w:val="af4"/>
          <w:sz w:val="28"/>
          <w:szCs w:val="28"/>
          <w:lang w:val="en-GB"/>
        </w:rPr>
        <w:t>c-fos</w:t>
      </w:r>
      <w:r w:rsidRPr="00556AA6">
        <w:rPr>
          <w:sz w:val="28"/>
          <w:szCs w:val="28"/>
          <w:lang w:val="en-GB"/>
        </w:rPr>
        <w:t> gene and the oxidative stress protein heme oxygenase in mammalian cells [</w:t>
      </w:r>
      <w:hyperlink r:id="rId156" w:anchor="R58" w:history="1">
        <w:r w:rsidRPr="00556AA6">
          <w:rPr>
            <w:rStyle w:val="ac"/>
            <w:color w:val="auto"/>
            <w:sz w:val="28"/>
            <w:szCs w:val="28"/>
            <w:lang w:val="en-GB"/>
          </w:rPr>
          <w:t>58</w:t>
        </w:r>
      </w:hyperlink>
      <w:r w:rsidRPr="00556AA6">
        <w:rPr>
          <w:sz w:val="28"/>
          <w:szCs w:val="28"/>
          <w:lang w:val="en-GB"/>
        </w:rPr>
        <w:t>, </w:t>
      </w:r>
      <w:hyperlink r:id="rId157" w:anchor="R59" w:history="1">
        <w:r w:rsidRPr="00556AA6">
          <w:rPr>
            <w:rStyle w:val="ac"/>
            <w:color w:val="auto"/>
            <w:sz w:val="28"/>
            <w:szCs w:val="28"/>
            <w:lang w:val="en-GB"/>
          </w:rPr>
          <w:t>59</w:t>
        </w:r>
      </w:hyperlink>
      <w:r w:rsidRPr="00556AA6">
        <w:rPr>
          <w:sz w:val="28"/>
          <w:szCs w:val="28"/>
          <w:lang w:val="en-GB"/>
        </w:rPr>
        <w:t>]. They have been implicated as promoters and comutagens for a variety of toxic agents [</w:t>
      </w:r>
      <w:hyperlink r:id="rId158" w:anchor="R60" w:history="1">
        <w:r w:rsidRPr="00556AA6">
          <w:rPr>
            <w:rStyle w:val="ac"/>
            <w:color w:val="auto"/>
            <w:sz w:val="28"/>
            <w:szCs w:val="28"/>
            <w:lang w:val="en-GB"/>
          </w:rPr>
          <w:t>60</w:t>
        </w:r>
      </w:hyperlink>
      <w:r w:rsidRPr="00556AA6">
        <w:rPr>
          <w:sz w:val="28"/>
          <w:szCs w:val="28"/>
          <w:lang w:val="en-GB"/>
        </w:rPr>
        <w:t>]. Recent studies in our laboratory have demonstrated that arsenic trioxide is cytotoxic and able to transcriptionally induce a significant number of stress genes and related proteins in human liver carcinoma cells [</w:t>
      </w:r>
      <w:hyperlink r:id="rId159" w:anchor="R61" w:history="1">
        <w:r w:rsidRPr="00556AA6">
          <w:rPr>
            <w:rStyle w:val="ac"/>
            <w:color w:val="auto"/>
            <w:sz w:val="28"/>
            <w:szCs w:val="28"/>
            <w:lang w:val="en-GB"/>
          </w:rPr>
          <w:t>61</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Epidemiological investigations have indicated that long-term arsenic exposure results in promotion of carcinogenesis. Several hypotheses have been proposed to describe the mechanism of arsenic-induced carcinogenesis. Zhao et al. [</w:t>
      </w:r>
      <w:hyperlink r:id="rId160" w:anchor="R62" w:history="1">
        <w:r w:rsidRPr="00556AA6">
          <w:rPr>
            <w:rStyle w:val="ac"/>
            <w:color w:val="auto"/>
            <w:sz w:val="28"/>
            <w:szCs w:val="28"/>
            <w:lang w:val="en-GB"/>
          </w:rPr>
          <w:t>62</w:t>
        </w:r>
      </w:hyperlink>
      <w:r w:rsidRPr="00556AA6">
        <w:rPr>
          <w:sz w:val="28"/>
          <w:szCs w:val="28"/>
          <w:lang w:val="en-GB"/>
        </w:rPr>
        <w:t>] reported that arsenic may act as a carcinogen by inducing DNA hypomethylation, which in turn facilitates aberrant gene expression. Additionally, it was found that arsenic is a potent stimulator of extracellular signal-regulated protein kinase Erk1 and AP-1 transactivational activity, and an efficient inducer of </w:t>
      </w:r>
      <w:r w:rsidRPr="00556AA6">
        <w:rPr>
          <w:rStyle w:val="af4"/>
          <w:sz w:val="28"/>
          <w:szCs w:val="28"/>
          <w:lang w:val="en-GB"/>
        </w:rPr>
        <w:t>c-fos</w:t>
      </w:r>
      <w:r w:rsidRPr="00556AA6">
        <w:rPr>
          <w:sz w:val="28"/>
          <w:szCs w:val="28"/>
          <w:lang w:val="en-GB"/>
        </w:rPr>
        <w:t> and </w:t>
      </w:r>
      <w:r w:rsidRPr="00556AA6">
        <w:rPr>
          <w:rStyle w:val="af4"/>
          <w:sz w:val="28"/>
          <w:szCs w:val="28"/>
          <w:lang w:val="en-GB"/>
        </w:rPr>
        <w:t>c-jun</w:t>
      </w:r>
      <w:r w:rsidRPr="00556AA6">
        <w:rPr>
          <w:sz w:val="28"/>
          <w:szCs w:val="28"/>
          <w:lang w:val="en-GB"/>
        </w:rPr>
        <w:t> gene expression [</w:t>
      </w:r>
      <w:hyperlink r:id="rId161" w:anchor="R63" w:history="1">
        <w:r w:rsidRPr="00556AA6">
          <w:rPr>
            <w:rStyle w:val="ac"/>
            <w:color w:val="auto"/>
            <w:sz w:val="28"/>
            <w:szCs w:val="28"/>
            <w:lang w:val="en-GB"/>
          </w:rPr>
          <w:t>63</w:t>
        </w:r>
      </w:hyperlink>
      <w:r w:rsidRPr="00556AA6">
        <w:rPr>
          <w:sz w:val="28"/>
          <w:szCs w:val="28"/>
          <w:lang w:val="en-GB"/>
        </w:rPr>
        <w:t>]. Induction of </w:t>
      </w:r>
      <w:r w:rsidRPr="00556AA6">
        <w:rPr>
          <w:rStyle w:val="af4"/>
          <w:sz w:val="28"/>
          <w:szCs w:val="28"/>
          <w:lang w:val="en-GB"/>
        </w:rPr>
        <w:t>c-jun</w:t>
      </w:r>
      <w:r w:rsidRPr="00556AA6">
        <w:rPr>
          <w:sz w:val="28"/>
          <w:szCs w:val="28"/>
          <w:lang w:val="en-GB"/>
        </w:rPr>
        <w:t> and </w:t>
      </w:r>
      <w:r w:rsidRPr="00556AA6">
        <w:rPr>
          <w:rStyle w:val="af4"/>
          <w:sz w:val="28"/>
          <w:szCs w:val="28"/>
          <w:lang w:val="en-GB"/>
        </w:rPr>
        <w:t>c-fos</w:t>
      </w:r>
      <w:r w:rsidRPr="00556AA6">
        <w:rPr>
          <w:sz w:val="28"/>
          <w:szCs w:val="28"/>
          <w:lang w:val="en-GB"/>
        </w:rPr>
        <w:t> by arsenic is associated with activation of JNK [</w:t>
      </w:r>
      <w:hyperlink r:id="rId162" w:anchor="R64" w:history="1">
        <w:r w:rsidRPr="00556AA6">
          <w:rPr>
            <w:rStyle w:val="ac"/>
            <w:color w:val="auto"/>
            <w:sz w:val="28"/>
            <w:szCs w:val="28"/>
            <w:lang w:val="en-GB"/>
          </w:rPr>
          <w:t>64</w:t>
        </w:r>
      </w:hyperlink>
      <w:r w:rsidRPr="00556AA6">
        <w:rPr>
          <w:sz w:val="28"/>
          <w:szCs w:val="28"/>
          <w:lang w:val="en-GB"/>
        </w:rPr>
        <w:t>]. However, the role of JNK activation by arsenite in cell transformation or tumor promotion is unclear.</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In another study, Trouba et al. [</w:t>
      </w:r>
      <w:hyperlink r:id="rId163" w:anchor="R65" w:history="1">
        <w:r w:rsidRPr="00556AA6">
          <w:rPr>
            <w:rStyle w:val="ac"/>
            <w:color w:val="auto"/>
            <w:sz w:val="28"/>
            <w:szCs w:val="28"/>
            <w:lang w:val="en-GB"/>
          </w:rPr>
          <w:t>65</w:t>
        </w:r>
      </w:hyperlink>
      <w:r w:rsidRPr="00556AA6">
        <w:rPr>
          <w:sz w:val="28"/>
          <w:szCs w:val="28"/>
          <w:lang w:val="en-GB"/>
        </w:rPr>
        <w:t>] concluded that long-term exposure to high levels of arsenic might make cells more susceptible to mitogenic stimulation and that alterations in mitogenic signaling proteins might contribute to the carcinogenic action of arsenic. Collectively, several recent studies have demonstrated that arsenic can interfere with cell signaling pathways (e.g., the p53 signaling pathway) that are frequently implicated in the promotion and progression of a variety of tumor types in experimental animal models, and of some human tumors [</w:t>
      </w:r>
      <w:hyperlink r:id="rId164" w:anchor="R66" w:history="1">
        <w:r w:rsidRPr="00556AA6">
          <w:rPr>
            <w:rStyle w:val="ac"/>
            <w:color w:val="auto"/>
            <w:sz w:val="28"/>
            <w:szCs w:val="28"/>
            <w:lang w:val="en-GB"/>
          </w:rPr>
          <w:t>66</w:t>
        </w:r>
      </w:hyperlink>
      <w:r w:rsidRPr="00556AA6">
        <w:rPr>
          <w:sz w:val="28"/>
          <w:szCs w:val="28"/>
          <w:lang w:val="en-GB"/>
        </w:rPr>
        <w:t>, </w:t>
      </w:r>
      <w:hyperlink r:id="rId165" w:anchor="R68" w:history="1">
        <w:r w:rsidRPr="00556AA6">
          <w:rPr>
            <w:rStyle w:val="ac"/>
            <w:color w:val="auto"/>
            <w:sz w:val="28"/>
            <w:szCs w:val="28"/>
            <w:lang w:val="en-GB"/>
          </w:rPr>
          <w:t>68</w:t>
        </w:r>
      </w:hyperlink>
      <w:r w:rsidRPr="00556AA6">
        <w:rPr>
          <w:sz w:val="28"/>
          <w:szCs w:val="28"/>
          <w:lang w:val="en-GB"/>
        </w:rPr>
        <w:t xml:space="preserve">]. However, the specific alterations in signal transduction pathways or the actual targets </w:t>
      </w:r>
      <w:proofErr w:type="gramStart"/>
      <w:r w:rsidRPr="00556AA6">
        <w:rPr>
          <w:sz w:val="28"/>
          <w:szCs w:val="28"/>
          <w:lang w:val="en-GB"/>
        </w:rPr>
        <w:t>that contribute</w:t>
      </w:r>
      <w:proofErr w:type="gramEnd"/>
      <w:r w:rsidRPr="00556AA6">
        <w:rPr>
          <w:sz w:val="28"/>
          <w:szCs w:val="28"/>
          <w:lang w:val="en-GB"/>
        </w:rPr>
        <w:t xml:space="preserve"> to the development of arsenic-induced tumors in humans following chronic consumption of arsenic remains uncertain.</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Recent clinical trials have found that arsenic trioxide has therapeutic value in the treatment of acute promyelocytic leukemia, and there is interest in exploring its effectiveness in the treatment of a variety of other cancers [</w:t>
      </w:r>
      <w:hyperlink r:id="rId166" w:anchor="R69" w:history="1">
        <w:r w:rsidRPr="00556AA6">
          <w:rPr>
            <w:rStyle w:val="ac"/>
            <w:color w:val="auto"/>
            <w:sz w:val="28"/>
            <w:szCs w:val="28"/>
            <w:lang w:val="en-GB"/>
          </w:rPr>
          <w:t>69</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"R70" </w:instrText>
      </w:r>
      <w:r w:rsidRPr="00556AA6">
        <w:rPr>
          <w:sz w:val="28"/>
          <w:szCs w:val="28"/>
        </w:rPr>
        <w:fldChar w:fldCharType="separate"/>
      </w:r>
      <w:r w:rsidRPr="00556AA6">
        <w:rPr>
          <w:rStyle w:val="ac"/>
          <w:color w:val="auto"/>
          <w:sz w:val="28"/>
          <w:szCs w:val="28"/>
          <w:lang w:val="en-GB"/>
        </w:rPr>
        <w:t>70</w:t>
      </w:r>
      <w:r w:rsidRPr="00556AA6">
        <w:rPr>
          <w:sz w:val="28"/>
          <w:szCs w:val="28"/>
        </w:rPr>
        <w:fldChar w:fldCharType="end"/>
      </w:r>
      <w:r w:rsidRPr="00556AA6">
        <w:rPr>
          <w:sz w:val="28"/>
          <w:szCs w:val="28"/>
          <w:lang w:val="en-GB"/>
        </w:rPr>
        <w:t>]. In acute promyelocytic leukemia, the specific molecular event critical to the formation of malignant cells is known. A study by Puccetti et al. [</w:t>
      </w:r>
      <w:hyperlink r:id="rId167" w:anchor="R71" w:history="1">
        <w:r w:rsidRPr="00556AA6">
          <w:rPr>
            <w:rStyle w:val="ac"/>
            <w:color w:val="auto"/>
            <w:sz w:val="28"/>
            <w:szCs w:val="28"/>
            <w:lang w:val="en-GB"/>
          </w:rPr>
          <w:t>71</w:t>
        </w:r>
      </w:hyperlink>
      <w:r w:rsidRPr="00556AA6">
        <w:rPr>
          <w:sz w:val="28"/>
          <w:szCs w:val="28"/>
          <w:lang w:val="en-GB"/>
        </w:rPr>
        <w:t>] found that forced overexpression of BCR-ABL susceptibility in human lymphoblasts cells resulted in greatly enhanced sensitivity to arsenic-induced apoptosis. They also concluded that arsenic trioxide is a tumor specific agent capable of inducing apoptosis selectively in acute promyelocytic leukemia cells. Several recent studies have shown that arsenic can induce apoptosis through alterations in other cell signaling pathways [</w:t>
      </w:r>
      <w:hyperlink r:id="rId168" w:anchor="R72" w:history="1">
        <w:r w:rsidRPr="00556AA6">
          <w:rPr>
            <w:rStyle w:val="ac"/>
            <w:color w:val="auto"/>
            <w:sz w:val="28"/>
            <w:szCs w:val="28"/>
            <w:lang w:val="en-GB"/>
          </w:rPr>
          <w:t>72</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"R73" </w:instrText>
      </w:r>
      <w:r w:rsidRPr="00556AA6">
        <w:rPr>
          <w:sz w:val="28"/>
          <w:szCs w:val="28"/>
        </w:rPr>
        <w:fldChar w:fldCharType="separate"/>
      </w:r>
      <w:r w:rsidRPr="00556AA6">
        <w:rPr>
          <w:rStyle w:val="ac"/>
          <w:color w:val="auto"/>
          <w:sz w:val="28"/>
          <w:szCs w:val="28"/>
          <w:lang w:val="en-GB"/>
        </w:rPr>
        <w:t>73</w:t>
      </w:r>
      <w:r w:rsidRPr="00556AA6">
        <w:rPr>
          <w:sz w:val="28"/>
          <w:szCs w:val="28"/>
        </w:rPr>
        <w:fldChar w:fldCharType="end"/>
      </w:r>
      <w:r w:rsidRPr="00556AA6">
        <w:rPr>
          <w:sz w:val="28"/>
          <w:szCs w:val="28"/>
          <w:lang w:val="en-GB"/>
        </w:rPr>
        <w:t>]. In addition to acute peomyelocytic leukemia, arsenic is thought to have therapeutic potential for myeloma [</w:t>
      </w:r>
      <w:hyperlink r:id="rId169" w:anchor="R74" w:history="1">
        <w:r w:rsidRPr="00556AA6">
          <w:rPr>
            <w:rStyle w:val="ac"/>
            <w:color w:val="auto"/>
            <w:sz w:val="28"/>
            <w:szCs w:val="28"/>
            <w:lang w:val="en-GB"/>
          </w:rPr>
          <w:t>74</w:t>
        </w:r>
      </w:hyperlink>
      <w:r w:rsidRPr="00556AA6">
        <w:rPr>
          <w:sz w:val="28"/>
          <w:szCs w:val="28"/>
          <w:lang w:val="en-GB"/>
        </w:rPr>
        <w:t>]. In summary, numerous cancer chemotherapy studies in cell cultures and in patients with acute promyelocytic leukemia demonstrate that arsenic trioxide administration can lead to cell-cycle arrest and apoptosis in malignant cells.</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Previous studies have also examined p53 gene expression and mutation in tumors obtained from subjects with a history of arsenic ingestion. </w:t>
      </w:r>
      <w:proofErr w:type="gramStart"/>
      <w:r w:rsidRPr="00556AA6">
        <w:rPr>
          <w:sz w:val="28"/>
          <w:szCs w:val="28"/>
          <w:lang w:val="en-GB"/>
        </w:rPr>
        <w:t>p53</w:t>
      </w:r>
      <w:proofErr w:type="gramEnd"/>
      <w:r w:rsidRPr="00556AA6">
        <w:rPr>
          <w:sz w:val="28"/>
          <w:szCs w:val="28"/>
          <w:lang w:val="en-GB"/>
        </w:rPr>
        <w:t xml:space="preserve"> participates in many cellular functions, cell-cycle control, DNA repair, differentiation, genomic </w:t>
      </w:r>
      <w:r w:rsidRPr="00556AA6">
        <w:rPr>
          <w:sz w:val="28"/>
          <w:szCs w:val="28"/>
          <w:lang w:val="en-GB"/>
        </w:rPr>
        <w:lastRenderedPageBreak/>
        <w:t>plasticity and programmed cell death. Additional support for the hypothesis that arsenic can modulate gene expression has been provided by several different studies [</w:t>
      </w:r>
      <w:hyperlink r:id="rId170" w:anchor="R75" w:history="1">
        <w:r w:rsidRPr="00556AA6">
          <w:rPr>
            <w:rStyle w:val="ac"/>
            <w:color w:val="auto"/>
            <w:sz w:val="28"/>
            <w:szCs w:val="28"/>
            <w:lang w:val="en-GB"/>
          </w:rPr>
          <w:t>75</w:t>
        </w:r>
      </w:hyperlink>
      <w:proofErr w:type="gramStart"/>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"R76" </w:instrText>
      </w:r>
      <w:r w:rsidRPr="00556AA6">
        <w:rPr>
          <w:sz w:val="28"/>
          <w:szCs w:val="28"/>
        </w:rPr>
        <w:fldChar w:fldCharType="separate"/>
      </w:r>
      <w:r w:rsidRPr="00556AA6">
        <w:rPr>
          <w:rStyle w:val="ac"/>
          <w:color w:val="auto"/>
          <w:sz w:val="28"/>
          <w:szCs w:val="28"/>
          <w:lang w:val="en-GB"/>
        </w:rPr>
        <w:t>76</w:t>
      </w:r>
      <w:r w:rsidRPr="00556AA6">
        <w:rPr>
          <w:sz w:val="28"/>
          <w:szCs w:val="28"/>
        </w:rPr>
        <w:fldChar w:fldCharType="end"/>
      </w:r>
      <w:r w:rsidRPr="00556AA6">
        <w:rPr>
          <w:sz w:val="28"/>
          <w:szCs w:val="28"/>
          <w:lang w:val="en-GB"/>
        </w:rPr>
        <w:t xml:space="preserve">]. Collectively, these studies provide further evidence that various forms of arsenic can alter gene expression and </w:t>
      </w:r>
      <w:proofErr w:type="gramStart"/>
      <w:r w:rsidRPr="00556AA6">
        <w:rPr>
          <w:sz w:val="28"/>
          <w:szCs w:val="28"/>
          <w:lang w:val="en-GB"/>
        </w:rPr>
        <w:t>that such changes</w:t>
      </w:r>
      <w:proofErr w:type="gramEnd"/>
      <w:r w:rsidRPr="00556AA6">
        <w:rPr>
          <w:sz w:val="28"/>
          <w:szCs w:val="28"/>
          <w:lang w:val="en-GB"/>
        </w:rPr>
        <w:t xml:space="preserve"> could contribute substantially to the toxic and carcinogenic actions of arsenic treatment in human populations [</w:t>
      </w:r>
      <w:hyperlink r:id="rId171" w:anchor="R77" w:history="1">
        <w:r w:rsidRPr="00556AA6">
          <w:rPr>
            <w:rStyle w:val="ac"/>
            <w:color w:val="auto"/>
            <w:sz w:val="28"/>
            <w:szCs w:val="28"/>
            <w:lang w:val="en-GB"/>
          </w:rPr>
          <w:t>77</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Several </w:t>
      </w:r>
      <w:r w:rsidRPr="00556AA6">
        <w:rPr>
          <w:rStyle w:val="af4"/>
          <w:sz w:val="28"/>
          <w:szCs w:val="28"/>
          <w:lang w:val="en-GB"/>
        </w:rPr>
        <w:t>in vitro</w:t>
      </w:r>
      <w:r w:rsidRPr="00556AA6">
        <w:rPr>
          <w:sz w:val="28"/>
          <w:szCs w:val="28"/>
          <w:lang w:val="en-GB"/>
        </w:rPr>
        <w:t> studies in our laboratory have demonstrated that arsenic modulates DNA synthesis, gene and protein expression, genotoxicity, mitosis and/or apoptotic mechanisms in various cell lines including keratinocytes, melanocytes, dendritic cells, dermal fibroblasts, microvascular endothelial cells, monocytes, and T-cells [</w:t>
      </w:r>
      <w:hyperlink r:id="rId172" w:anchor="R78" w:history="1">
        <w:r w:rsidRPr="00556AA6">
          <w:rPr>
            <w:rStyle w:val="ac"/>
            <w:color w:val="auto"/>
            <w:sz w:val="28"/>
            <w:szCs w:val="28"/>
            <w:lang w:val="en-GB"/>
          </w:rPr>
          <w:t>78</w:t>
        </w:r>
      </w:hyperlink>
      <w:r w:rsidRPr="00556AA6">
        <w:rPr>
          <w:sz w:val="28"/>
          <w:szCs w:val="28"/>
          <w:lang w:val="en-GB"/>
        </w:rPr>
        <w:t>], colon cancer cells [</w:t>
      </w:r>
      <w:hyperlink r:id="rId173" w:anchor="R79" w:history="1">
        <w:r w:rsidRPr="00556AA6">
          <w:rPr>
            <w:rStyle w:val="ac"/>
            <w:color w:val="auto"/>
            <w:sz w:val="28"/>
            <w:szCs w:val="28"/>
            <w:lang w:val="en-GB"/>
          </w:rPr>
          <w:t>79</w:t>
        </w:r>
      </w:hyperlink>
      <w:r w:rsidRPr="00556AA6">
        <w:rPr>
          <w:sz w:val="28"/>
          <w:szCs w:val="28"/>
          <w:lang w:val="en-GB"/>
        </w:rPr>
        <w:t>], lung cancer cells [</w:t>
      </w:r>
      <w:hyperlink r:id="rId174" w:anchor="R80" w:history="1">
        <w:r w:rsidRPr="00556AA6">
          <w:rPr>
            <w:rStyle w:val="ac"/>
            <w:color w:val="auto"/>
            <w:sz w:val="28"/>
            <w:szCs w:val="28"/>
            <w:lang w:val="en-GB"/>
          </w:rPr>
          <w:t>80</w:t>
        </w:r>
      </w:hyperlink>
      <w:r w:rsidRPr="00556AA6">
        <w:rPr>
          <w:sz w:val="28"/>
          <w:szCs w:val="28"/>
          <w:lang w:val="en-GB"/>
        </w:rPr>
        <w:t>], human leukemia cells [</w:t>
      </w:r>
      <w:hyperlink r:id="rId175" w:anchor="R81" w:history="1">
        <w:r w:rsidRPr="00556AA6">
          <w:rPr>
            <w:rStyle w:val="ac"/>
            <w:color w:val="auto"/>
            <w:sz w:val="28"/>
            <w:szCs w:val="28"/>
            <w:lang w:val="en-GB"/>
          </w:rPr>
          <w:t>81</w:t>
        </w:r>
      </w:hyperlink>
      <w:r w:rsidRPr="00556AA6">
        <w:rPr>
          <w:sz w:val="28"/>
          <w:szCs w:val="28"/>
          <w:lang w:val="en-GB"/>
        </w:rPr>
        <w:t>], Jurkat-T lymphocytes [</w:t>
      </w:r>
      <w:hyperlink r:id="rId176" w:anchor="R82" w:history="1">
        <w:r w:rsidRPr="00556AA6">
          <w:rPr>
            <w:rStyle w:val="ac"/>
            <w:color w:val="auto"/>
            <w:sz w:val="28"/>
            <w:szCs w:val="28"/>
            <w:lang w:val="en-GB"/>
          </w:rPr>
          <w:t>82</w:t>
        </w:r>
      </w:hyperlink>
      <w:r w:rsidRPr="00556AA6">
        <w:rPr>
          <w:sz w:val="28"/>
          <w:szCs w:val="28"/>
          <w:lang w:val="en-GB"/>
        </w:rPr>
        <w:t>], and human liver carcinoma cells [</w:t>
      </w:r>
      <w:hyperlink r:id="rId177" w:anchor="R83" w:history="1">
        <w:r w:rsidRPr="00556AA6">
          <w:rPr>
            <w:rStyle w:val="ac"/>
            <w:color w:val="auto"/>
            <w:sz w:val="28"/>
            <w:szCs w:val="28"/>
            <w:lang w:val="en-GB"/>
          </w:rPr>
          <w:t>83</w:t>
        </w:r>
      </w:hyperlink>
      <w:r w:rsidRPr="00556AA6">
        <w:rPr>
          <w:sz w:val="28"/>
          <w:szCs w:val="28"/>
          <w:lang w:val="en-GB"/>
        </w:rPr>
        <w:t>]. We have also shown that oxidative stress plays a key role in arsenic induced cytotoxicity, a process that is modulated by pro- and/or anti-oxidants such as ascorbic acid and n-acetyl cysteine [</w:t>
      </w:r>
      <w:hyperlink r:id="rId178" w:anchor="R84" w:history="1">
        <w:r w:rsidRPr="00556AA6">
          <w:rPr>
            <w:rStyle w:val="ac"/>
            <w:color w:val="auto"/>
            <w:sz w:val="28"/>
            <w:szCs w:val="28"/>
            <w:lang w:val="en-GB"/>
          </w:rPr>
          <w:t>84</w:t>
        </w:r>
      </w:hyperlink>
      <w:r w:rsidRPr="00556AA6">
        <w:rPr>
          <w:sz w:val="28"/>
          <w:szCs w:val="28"/>
          <w:lang w:val="en-GB"/>
        </w:rPr>
        <w:t>–</w:t>
      </w:r>
      <w:hyperlink r:id="rId179" w:anchor="R86" w:history="1">
        <w:r w:rsidRPr="00556AA6">
          <w:rPr>
            <w:rStyle w:val="ac"/>
            <w:color w:val="auto"/>
            <w:sz w:val="28"/>
            <w:szCs w:val="28"/>
            <w:lang w:val="en-GB"/>
          </w:rPr>
          <w:t>86</w:t>
        </w:r>
      </w:hyperlink>
      <w:r w:rsidRPr="00556AA6">
        <w:rPr>
          <w:sz w:val="28"/>
          <w:szCs w:val="28"/>
          <w:lang w:val="en-GB"/>
        </w:rPr>
        <w:t>]. We have further demonstrated that the toxicity of arsenic depends on its chemical form, the inorganic form being more toxic than the organic one [</w:t>
      </w:r>
      <w:hyperlink r:id="rId180" w:anchor="R42" w:history="1">
        <w:r w:rsidRPr="00556AA6">
          <w:rPr>
            <w:rStyle w:val="ac"/>
            <w:color w:val="auto"/>
            <w:sz w:val="28"/>
            <w:szCs w:val="28"/>
            <w:lang w:val="en-GB"/>
          </w:rPr>
          <w:t>42</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Various hypotheses have been proposed to explain the carcinogenicity of inorganic arsenic. Nevertheless, the molecular mechanisms by which this arsenical induces cancer are still poorly understood. Results of previous studies have indicated that inorganic arsenic does not act through classic genotoxic and mutagenic mechanisms, but rather may be a tumor promoter that modifies signal transduction pathways involved in cell growth and proliferation [</w:t>
      </w:r>
      <w:hyperlink r:id="rId181" w:anchor="R68" w:history="1">
        <w:r w:rsidRPr="00556AA6">
          <w:rPr>
            <w:rStyle w:val="ac"/>
            <w:color w:val="auto"/>
            <w:sz w:val="28"/>
            <w:szCs w:val="28"/>
            <w:lang w:val="en-GB"/>
          </w:rPr>
          <w:t>68</w:t>
        </w:r>
      </w:hyperlink>
      <w:r w:rsidRPr="00556AA6">
        <w:rPr>
          <w:sz w:val="28"/>
          <w:szCs w:val="28"/>
          <w:lang w:val="en-GB"/>
        </w:rPr>
        <w:t>]. Although much progress has been recently made in the area of arsenic’s possible mode(s) of carcinogenic action, a scientific consensus has not yet reached. A recent review discusses nine different possible modes of action of arsenic carcinogenesis: induced chromosomal abnormalities, oxidative stress, altered DNA repair, altered DNA methylation patterns, altered growth factors, enhanced cell proliferation, promotion/progression, suppression of p53, and gene amplification [</w:t>
      </w:r>
      <w:hyperlink r:id="rId182" w:anchor="R87" w:history="1">
        <w:r w:rsidRPr="00556AA6">
          <w:rPr>
            <w:rStyle w:val="ac"/>
            <w:color w:val="auto"/>
            <w:sz w:val="28"/>
            <w:szCs w:val="28"/>
            <w:lang w:val="en-GB"/>
          </w:rPr>
          <w:t>87</w:t>
        </w:r>
      </w:hyperlink>
      <w:r w:rsidRPr="00556AA6">
        <w:rPr>
          <w:sz w:val="28"/>
          <w:szCs w:val="28"/>
          <w:lang w:val="en-GB"/>
        </w:rPr>
        <w:t>]. Presently, three modes (chromosomal abnormality, oxidative stress, and altered growth factors) of arsenic carcinogenesis have shown a degree of positive evidence, both in experimental systems (animal and human cells) and in human tissues. The remaining possible modes of carcinogenic action (progression of carcinogenesis, altered DNA repair, p53 suppression, altered DNA methylation patterns and gene amplification) do not have as much evidence, particularly from </w:t>
      </w:r>
      <w:r w:rsidRPr="00556AA6">
        <w:rPr>
          <w:rStyle w:val="af4"/>
          <w:sz w:val="28"/>
          <w:szCs w:val="28"/>
          <w:lang w:val="en-GB"/>
        </w:rPr>
        <w:t>in vivo</w:t>
      </w:r>
      <w:r w:rsidRPr="00556AA6">
        <w:rPr>
          <w:sz w:val="28"/>
          <w:szCs w:val="28"/>
          <w:lang w:val="en-GB"/>
        </w:rPr>
        <w:t> studies with laboratory animals, </w:t>
      </w:r>
      <w:r w:rsidRPr="00556AA6">
        <w:rPr>
          <w:rStyle w:val="af4"/>
          <w:sz w:val="28"/>
          <w:szCs w:val="28"/>
          <w:lang w:val="en-GB"/>
        </w:rPr>
        <w:t>in vitro</w:t>
      </w:r>
      <w:r w:rsidRPr="00556AA6">
        <w:rPr>
          <w:sz w:val="28"/>
          <w:szCs w:val="28"/>
          <w:lang w:val="en-GB"/>
        </w:rPr>
        <w:t> studies with cultured human cells, or human data from case or population studies. Thus, the mode-of-action studies suggest that arsenic might be acting as a cocarcinogen, a promoter, or a progressor of carcinogenesis.</w:t>
      </w:r>
    </w:p>
    <w:p w:rsidR="000C05D1" w:rsidRDefault="000C05D1" w:rsidP="000C05D1">
      <w:pPr>
        <w:pStyle w:val="3"/>
        <w:shd w:val="clear" w:color="auto" w:fill="FFFFFF"/>
        <w:tabs>
          <w:tab w:val="left" w:pos="900"/>
        </w:tabs>
        <w:spacing w:before="0" w:after="0"/>
        <w:ind w:firstLine="720"/>
        <w:jc w:val="both"/>
        <w:rPr>
          <w:sz w:val="28"/>
          <w:szCs w:val="28"/>
          <w:lang w:val="en-GB"/>
        </w:rPr>
      </w:pP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r w:rsidRPr="00556AA6">
        <w:rPr>
          <w:rFonts w:ascii="Times New Roman" w:hAnsi="Times New Roman" w:cs="Times New Roman"/>
          <w:color w:val="auto"/>
          <w:sz w:val="28"/>
          <w:szCs w:val="28"/>
          <w:lang w:val="en-GB"/>
        </w:rPr>
        <w:t>Cadmium</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Environmental Occurrence, Industrial Production and Use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Cadmium is a heavy metal of considerable environmental and occupational concern. It is widely distributed in the earth's crust at an average concentration of about 0.1 mg/kg. The highest level of cadmium compounds in the environment is </w:t>
      </w:r>
      <w:r w:rsidRPr="00556AA6">
        <w:rPr>
          <w:sz w:val="28"/>
          <w:szCs w:val="28"/>
          <w:lang w:val="en-GB"/>
        </w:rPr>
        <w:lastRenderedPageBreak/>
        <w:t>accumulated in sedimentary rocks, and marine phosphates contain about 15 mg cadmium/kg [</w:t>
      </w:r>
      <w:hyperlink r:id="rId183" w:anchor="R88" w:history="1">
        <w:r w:rsidRPr="00556AA6">
          <w:rPr>
            <w:rStyle w:val="ac"/>
            <w:color w:val="auto"/>
            <w:sz w:val="28"/>
            <w:szCs w:val="28"/>
            <w:lang w:val="en-GB"/>
          </w:rPr>
          <w:t>88</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Cadmium is frequently used in various industrial activities. The major industrial applications of cadmium include the production of alloys, pigments, and batteries [</w:t>
      </w:r>
      <w:hyperlink r:id="rId184" w:anchor="R89" w:history="1">
        <w:r w:rsidRPr="00556AA6">
          <w:rPr>
            <w:rStyle w:val="ac"/>
            <w:color w:val="auto"/>
            <w:sz w:val="28"/>
            <w:szCs w:val="28"/>
            <w:lang w:val="en-GB"/>
          </w:rPr>
          <w:t>89</w:t>
        </w:r>
      </w:hyperlink>
      <w:r w:rsidRPr="00556AA6">
        <w:rPr>
          <w:sz w:val="28"/>
          <w:szCs w:val="28"/>
          <w:lang w:val="en-GB"/>
        </w:rPr>
        <w:t xml:space="preserve">]. Although the use of cadmium in batteries has shown considerable growth in recent years, its commercial use has declined in developed countries in response to environmental concerns. In the </w:t>
      </w:r>
      <w:smartTag w:uri="urn:schemas-microsoft-com:office:smarttags" w:element="place">
        <w:smartTag w:uri="urn:schemas-microsoft-com:office:smarttags" w:element="country-region">
          <w:r w:rsidRPr="00556AA6">
            <w:rPr>
              <w:sz w:val="28"/>
              <w:szCs w:val="28"/>
              <w:lang w:val="en-GB"/>
            </w:rPr>
            <w:t>United States</w:t>
          </w:r>
        </w:smartTag>
      </w:smartTag>
      <w:r w:rsidRPr="00556AA6">
        <w:rPr>
          <w:sz w:val="28"/>
          <w:szCs w:val="28"/>
          <w:lang w:val="en-GB"/>
        </w:rPr>
        <w:t xml:space="preserve"> for example, the daily cadmium intake is about 0.4µg/kg/day, less than half of the U.S. EPA’s oral reference dose [</w:t>
      </w:r>
      <w:hyperlink r:id="rId185" w:anchor="R90" w:history="1">
        <w:r w:rsidRPr="00556AA6">
          <w:rPr>
            <w:rStyle w:val="ac"/>
            <w:color w:val="auto"/>
            <w:sz w:val="28"/>
            <w:szCs w:val="28"/>
            <w:lang w:val="en-GB"/>
          </w:rPr>
          <w:t>90</w:t>
        </w:r>
      </w:hyperlink>
      <w:r w:rsidRPr="00556AA6">
        <w:rPr>
          <w:sz w:val="28"/>
          <w:szCs w:val="28"/>
          <w:lang w:val="en-GB"/>
        </w:rPr>
        <w:t>]. This decline has been linked to the introduction of stringent effluent limits from plating works and, more recently, to the introduction of general restrictions on cadmium consumption in certain countries.</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Potential for Human Exposure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main routes of exposure to cadmium are via inhalation or cigarette smoke, and ingestion of food. Skin absorption is rare. Human exposure to cadmium is possible through a number of several sources including employment in primary metal industries, eating contaminated food, smoking cigarettes, and working in cadmium-contaminated work places, with smoking being a major contributor [</w:t>
      </w:r>
      <w:hyperlink r:id="rId186" w:anchor="R91" w:history="1">
        <w:r w:rsidRPr="00556AA6">
          <w:rPr>
            <w:rStyle w:val="ac"/>
            <w:color w:val="auto"/>
            <w:sz w:val="28"/>
            <w:szCs w:val="28"/>
            <w:lang w:val="en-GB"/>
          </w:rPr>
          <w:t>91</w:t>
        </w:r>
      </w:hyperlink>
      <w:r w:rsidRPr="00556AA6">
        <w:rPr>
          <w:sz w:val="28"/>
          <w:szCs w:val="28"/>
          <w:lang w:val="en-GB"/>
        </w:rPr>
        <w:t>, </w:t>
      </w:r>
      <w:hyperlink r:id="rId187" w:anchor="R92" w:history="1">
        <w:r w:rsidRPr="00556AA6">
          <w:rPr>
            <w:rStyle w:val="ac"/>
            <w:color w:val="auto"/>
            <w:sz w:val="28"/>
            <w:szCs w:val="28"/>
            <w:lang w:val="en-GB"/>
          </w:rPr>
          <w:t>92</w:t>
        </w:r>
      </w:hyperlink>
      <w:r w:rsidRPr="00556AA6">
        <w:rPr>
          <w:sz w:val="28"/>
          <w:szCs w:val="28"/>
          <w:lang w:val="en-GB"/>
        </w:rPr>
        <w:t>]. Other sources of cadmium include emissions from industrial activities, including mining, smelting, and manufacturing of batteries, pigments, stabilizers, and alloys [</w:t>
      </w:r>
      <w:hyperlink r:id="rId188" w:anchor="R93" w:history="1">
        <w:r w:rsidRPr="00556AA6">
          <w:rPr>
            <w:rStyle w:val="ac"/>
            <w:color w:val="auto"/>
            <w:sz w:val="28"/>
            <w:szCs w:val="28"/>
            <w:lang w:val="en-GB"/>
          </w:rPr>
          <w:t>93</w:t>
        </w:r>
      </w:hyperlink>
      <w:r w:rsidRPr="00556AA6">
        <w:rPr>
          <w:sz w:val="28"/>
          <w:szCs w:val="28"/>
          <w:lang w:val="en-GB"/>
        </w:rPr>
        <w:t>]. Cadmium is also present in trace amounts in certain foods such as leafy vegetables, potatoes, grains and seeds, liver and kidney, and crustaceans and mollusks [</w:t>
      </w:r>
      <w:hyperlink r:id="rId189" w:anchor="R94" w:history="1">
        <w:r w:rsidRPr="00556AA6">
          <w:rPr>
            <w:rStyle w:val="ac"/>
            <w:color w:val="auto"/>
            <w:sz w:val="28"/>
            <w:szCs w:val="28"/>
            <w:lang w:val="en-GB"/>
          </w:rPr>
          <w:t>94</w:t>
        </w:r>
      </w:hyperlink>
      <w:r w:rsidRPr="00556AA6">
        <w:rPr>
          <w:sz w:val="28"/>
          <w:szCs w:val="28"/>
          <w:lang w:val="en-GB"/>
        </w:rPr>
        <w:t>]. In addition, foodstuffs that are rich in cadmium can greatly increase the cadmium concentration in human bodies. Examples are liver, mushrooms, shellfish, mussels, cocoa powder and dried seaweed. An important distribution route is the circulatory system whereas blood vessels are considered to be main stream organs of cadmium toxicity. Chronic inhalation exposure to cadmium particulates is generally associated with changes in pulmonary function and chest radiographs that are consistent with emphysema [</w:t>
      </w:r>
      <w:hyperlink r:id="rId190" w:anchor="R95" w:history="1">
        <w:r w:rsidRPr="00556AA6">
          <w:rPr>
            <w:rStyle w:val="ac"/>
            <w:color w:val="auto"/>
            <w:sz w:val="28"/>
            <w:szCs w:val="28"/>
            <w:lang w:val="en-GB"/>
          </w:rPr>
          <w:t>95</w:t>
        </w:r>
      </w:hyperlink>
      <w:r w:rsidRPr="00556AA6">
        <w:rPr>
          <w:sz w:val="28"/>
          <w:szCs w:val="28"/>
          <w:lang w:val="en-GB"/>
        </w:rPr>
        <w:t>]. Workplace exposure to airborne cadmium particulates has been associated with decreases in olfactory function [</w:t>
      </w:r>
      <w:hyperlink r:id="rId191" w:anchor="R96" w:history="1">
        <w:r w:rsidRPr="00556AA6">
          <w:rPr>
            <w:rStyle w:val="ac"/>
            <w:color w:val="auto"/>
            <w:sz w:val="28"/>
            <w:szCs w:val="28"/>
            <w:lang w:val="en-GB"/>
          </w:rPr>
          <w:t>96</w:t>
        </w:r>
      </w:hyperlink>
      <w:r w:rsidRPr="00556AA6">
        <w:rPr>
          <w:sz w:val="28"/>
          <w:szCs w:val="28"/>
          <w:lang w:val="en-GB"/>
        </w:rPr>
        <w:t>]. Several epidemiologic studies have documented an association of chronic low-level cadmium exposure with decreases in bone mineral density and osteoporosis [</w:t>
      </w:r>
      <w:hyperlink r:id="rId192" w:anchor="R97" w:history="1">
        <w:r w:rsidRPr="00556AA6">
          <w:rPr>
            <w:rStyle w:val="ac"/>
            <w:color w:val="auto"/>
            <w:sz w:val="28"/>
            <w:szCs w:val="28"/>
            <w:lang w:val="en-GB"/>
          </w:rPr>
          <w:t>97</w:t>
        </w:r>
      </w:hyperlink>
      <w:r w:rsidRPr="00556AA6">
        <w:rPr>
          <w:sz w:val="28"/>
          <w:szCs w:val="28"/>
          <w:lang w:val="en-GB"/>
        </w:rPr>
        <w:t>–</w:t>
      </w:r>
      <w:hyperlink r:id="rId193" w:anchor="R99" w:history="1">
        <w:r w:rsidRPr="00556AA6">
          <w:rPr>
            <w:rStyle w:val="ac"/>
            <w:color w:val="auto"/>
            <w:sz w:val="28"/>
            <w:szCs w:val="28"/>
            <w:lang w:val="en-GB"/>
          </w:rPr>
          <w:t>99</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Exposure to cadmium is commonly determined by measuring cadmium levels in blood or urine. Blood cadmium reflects recent cadmium exposure (from smoking, for example). Cadmium in urine (usually adjusted for dilution by calculating the cadmium/creatinine ratio) indicates accumulation, or kidney burden of cadmium [</w:t>
      </w:r>
      <w:hyperlink r:id="rId194" w:anchor="R100" w:history="1">
        <w:r w:rsidRPr="00556AA6">
          <w:rPr>
            <w:rStyle w:val="ac"/>
            <w:color w:val="auto"/>
            <w:sz w:val="28"/>
            <w:szCs w:val="28"/>
            <w:lang w:val="en-GB"/>
          </w:rPr>
          <w:t>100</w:t>
        </w:r>
      </w:hyperlink>
      <w:r w:rsidRPr="00556AA6">
        <w:rPr>
          <w:sz w:val="28"/>
          <w:szCs w:val="28"/>
          <w:lang w:val="en-GB"/>
        </w:rPr>
        <w:t>, </w:t>
      </w:r>
      <w:hyperlink r:id="rId195" w:anchor="R101" w:history="1">
        <w:r w:rsidRPr="00556AA6">
          <w:rPr>
            <w:rStyle w:val="ac"/>
            <w:color w:val="auto"/>
            <w:sz w:val="28"/>
            <w:szCs w:val="28"/>
            <w:lang w:val="en-GB"/>
          </w:rPr>
          <w:t>101</w:t>
        </w:r>
      </w:hyperlink>
      <w:r w:rsidRPr="00556AA6">
        <w:rPr>
          <w:sz w:val="28"/>
          <w:szCs w:val="28"/>
          <w:lang w:val="en-GB"/>
        </w:rPr>
        <w:t xml:space="preserve">]. It is estimated that about 2.3% of the </w:t>
      </w:r>
      <w:smartTag w:uri="urn:schemas-microsoft-com:office:smarttags" w:element="place">
        <w:smartTag w:uri="urn:schemas-microsoft-com:office:smarttags" w:element="country-region">
          <w:r w:rsidRPr="00556AA6">
            <w:rPr>
              <w:sz w:val="28"/>
              <w:szCs w:val="28"/>
              <w:lang w:val="en-GB"/>
            </w:rPr>
            <w:t>U.S.</w:t>
          </w:r>
        </w:smartTag>
      </w:smartTag>
      <w:r w:rsidRPr="00556AA6">
        <w:rPr>
          <w:sz w:val="28"/>
          <w:szCs w:val="28"/>
          <w:lang w:val="en-GB"/>
        </w:rPr>
        <w:t xml:space="preserve"> population has elevated levels of urine cadmium (&gt;2µg/g creatinine), a marker of chronic exposure and body burden [</w:t>
      </w:r>
      <w:hyperlink r:id="rId196" w:anchor="R102" w:history="1">
        <w:r w:rsidRPr="00556AA6">
          <w:rPr>
            <w:rStyle w:val="ac"/>
            <w:color w:val="auto"/>
            <w:sz w:val="28"/>
            <w:szCs w:val="28"/>
            <w:lang w:val="en-GB"/>
          </w:rPr>
          <w:t>102</w:t>
        </w:r>
      </w:hyperlink>
      <w:r w:rsidRPr="00556AA6">
        <w:rPr>
          <w:sz w:val="28"/>
          <w:szCs w:val="28"/>
          <w:lang w:val="en-GB"/>
        </w:rPr>
        <w:t>]. Blood and urine cadmium levels are typically higher in cigarette smokers, intermediate in former smokers and lower in nonsmokers [</w:t>
      </w:r>
      <w:hyperlink r:id="rId197" w:anchor="R102" w:history="1">
        <w:r w:rsidRPr="00556AA6">
          <w:rPr>
            <w:rStyle w:val="ac"/>
            <w:color w:val="auto"/>
            <w:sz w:val="28"/>
            <w:szCs w:val="28"/>
            <w:lang w:val="en-GB"/>
          </w:rPr>
          <w:t>102</w:t>
        </w:r>
      </w:hyperlink>
      <w:r w:rsidRPr="00556AA6">
        <w:rPr>
          <w:sz w:val="28"/>
          <w:szCs w:val="28"/>
          <w:lang w:val="en-GB"/>
        </w:rPr>
        <w:t>, </w:t>
      </w:r>
      <w:hyperlink r:id="rId198" w:anchor="R103" w:history="1">
        <w:r w:rsidRPr="00556AA6">
          <w:rPr>
            <w:rStyle w:val="ac"/>
            <w:color w:val="auto"/>
            <w:sz w:val="28"/>
            <w:szCs w:val="28"/>
            <w:lang w:val="en-GB"/>
          </w:rPr>
          <w:t>103</w:t>
        </w:r>
      </w:hyperlink>
      <w:r w:rsidRPr="00556AA6">
        <w:rPr>
          <w:sz w:val="28"/>
          <w:szCs w:val="28"/>
          <w:lang w:val="en-GB"/>
        </w:rPr>
        <w:t>]. Because of continuing use of cadmium in industrial applications, the environmental contamination and human exposure to cadmium have dramatically increased during the past century [</w:t>
      </w:r>
      <w:hyperlink r:id="rId199" w:anchor="R104" w:history="1">
        <w:r w:rsidRPr="00556AA6">
          <w:rPr>
            <w:rStyle w:val="ac"/>
            <w:color w:val="auto"/>
            <w:sz w:val="28"/>
            <w:szCs w:val="28"/>
            <w:lang w:val="en-GB"/>
          </w:rPr>
          <w:t>104</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lastRenderedPageBreak/>
        <w:t>Molecular Mechanisms of Toxicity and Carcinogenicity</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Cadmium is a severe pulmonary and gastrointestinal irritant, which can be fatal if inhaled or ingested. After acute ingestion, symptoms such as abdominal pain, burning sensation, nausea, vomiting, salivation, muscle cramps, vertigo, shock, loss of consciousness and convulsions usually appear within 15 to 30 min [</w:t>
      </w:r>
      <w:hyperlink r:id="rId200" w:anchor="R105" w:history="1">
        <w:r w:rsidRPr="00556AA6">
          <w:rPr>
            <w:rStyle w:val="ac"/>
            <w:color w:val="auto"/>
            <w:sz w:val="28"/>
            <w:szCs w:val="28"/>
            <w:lang w:val="en-GB"/>
          </w:rPr>
          <w:t>105</w:t>
        </w:r>
      </w:hyperlink>
      <w:r w:rsidRPr="00556AA6">
        <w:rPr>
          <w:sz w:val="28"/>
          <w:szCs w:val="28"/>
          <w:lang w:val="en-GB"/>
        </w:rPr>
        <w:t>]. Acute cadmium ingestion can also cause gastrointestinal tract erosion, pulmonary, hepatic or renal injury and coma, depending on the route of poisoning [</w:t>
      </w:r>
      <w:hyperlink r:id="rId201" w:anchor="R105" w:history="1">
        <w:r w:rsidRPr="00556AA6">
          <w:rPr>
            <w:rStyle w:val="ac"/>
            <w:color w:val="auto"/>
            <w:sz w:val="28"/>
            <w:szCs w:val="28"/>
            <w:lang w:val="en-GB"/>
          </w:rPr>
          <w:t>105</w:t>
        </w:r>
      </w:hyperlink>
      <w:r w:rsidRPr="00556AA6">
        <w:rPr>
          <w:sz w:val="28"/>
          <w:szCs w:val="28"/>
          <w:lang w:val="en-GB"/>
        </w:rPr>
        <w:t>, </w:t>
      </w:r>
      <w:hyperlink r:id="rId202" w:anchor="R106" w:history="1">
        <w:r w:rsidRPr="00556AA6">
          <w:rPr>
            <w:rStyle w:val="ac"/>
            <w:color w:val="auto"/>
            <w:sz w:val="28"/>
            <w:szCs w:val="28"/>
            <w:lang w:val="en-GB"/>
          </w:rPr>
          <w:t>106</w:t>
        </w:r>
      </w:hyperlink>
      <w:r w:rsidRPr="00556AA6">
        <w:rPr>
          <w:sz w:val="28"/>
          <w:szCs w:val="28"/>
          <w:lang w:val="en-GB"/>
        </w:rPr>
        <w:t>]. Chronic exposure to cadmium has a depressive effect on levels of norepinephrine, serotonin, and acetylcholine [</w:t>
      </w:r>
      <w:hyperlink r:id="rId203" w:anchor="R107" w:history="1">
        <w:r w:rsidRPr="00556AA6">
          <w:rPr>
            <w:rStyle w:val="ac"/>
            <w:color w:val="auto"/>
            <w:sz w:val="28"/>
            <w:szCs w:val="28"/>
            <w:lang w:val="en-GB"/>
          </w:rPr>
          <w:t>107</w:t>
        </w:r>
      </w:hyperlink>
      <w:r w:rsidRPr="00556AA6">
        <w:rPr>
          <w:sz w:val="28"/>
          <w:szCs w:val="28"/>
          <w:lang w:val="en-GB"/>
        </w:rPr>
        <w:t>]. Rodent studies have shown that chronic inhalation of cadmium causes pulmonary adenocarcinomas [</w:t>
      </w:r>
      <w:hyperlink r:id="rId204" w:anchor="R108" w:history="1">
        <w:r w:rsidRPr="00556AA6">
          <w:rPr>
            <w:rStyle w:val="ac"/>
            <w:color w:val="auto"/>
            <w:sz w:val="28"/>
            <w:szCs w:val="28"/>
            <w:lang w:val="en-GB"/>
          </w:rPr>
          <w:t>108</w:t>
        </w:r>
      </w:hyperlink>
      <w:r w:rsidRPr="00556AA6">
        <w:rPr>
          <w:sz w:val="28"/>
          <w:szCs w:val="28"/>
          <w:lang w:val="en-GB"/>
        </w:rPr>
        <w:t>, </w:t>
      </w:r>
      <w:hyperlink r:id="rId205" w:anchor="R109" w:history="1">
        <w:r w:rsidRPr="00556AA6">
          <w:rPr>
            <w:rStyle w:val="ac"/>
            <w:color w:val="auto"/>
            <w:sz w:val="28"/>
            <w:szCs w:val="28"/>
            <w:lang w:val="en-GB"/>
          </w:rPr>
          <w:t>109</w:t>
        </w:r>
      </w:hyperlink>
      <w:r w:rsidRPr="00556AA6">
        <w:rPr>
          <w:sz w:val="28"/>
          <w:szCs w:val="28"/>
          <w:lang w:val="en-GB"/>
        </w:rPr>
        <w:t>]. It can also cause prostatic proliferative lesions including adenocarcinomas, after systemic or direct exposure [</w:t>
      </w:r>
      <w:hyperlink r:id="rId206" w:anchor="R110" w:history="1">
        <w:r w:rsidRPr="00556AA6">
          <w:rPr>
            <w:rStyle w:val="ac"/>
            <w:color w:val="auto"/>
            <w:sz w:val="28"/>
            <w:szCs w:val="28"/>
            <w:lang w:val="en-GB"/>
          </w:rPr>
          <w:t>110</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Although the mechanisms of cadmium toxicity are poorly understood, it has been speculated that cadmium causes damage to cells primarily through the generation of ROS [</w:t>
      </w:r>
      <w:hyperlink r:id="rId207" w:anchor="R111" w:history="1">
        <w:r w:rsidRPr="00556AA6">
          <w:rPr>
            <w:rStyle w:val="ac"/>
            <w:color w:val="auto"/>
            <w:sz w:val="28"/>
            <w:szCs w:val="28"/>
            <w:lang w:val="en-GB"/>
          </w:rPr>
          <w:t>111</w:t>
        </w:r>
      </w:hyperlink>
      <w:r w:rsidRPr="00556AA6">
        <w:rPr>
          <w:sz w:val="28"/>
          <w:szCs w:val="28"/>
          <w:lang w:val="en-GB"/>
        </w:rPr>
        <w:t>], which causes single-strand DNA damage and disrupts the synthesis of nucleic acids and proteins [</w:t>
      </w:r>
      <w:hyperlink r:id="rId208" w:anchor="R112" w:history="1">
        <w:r w:rsidRPr="00556AA6">
          <w:rPr>
            <w:rStyle w:val="ac"/>
            <w:color w:val="auto"/>
            <w:sz w:val="28"/>
            <w:szCs w:val="28"/>
            <w:lang w:val="en-GB"/>
          </w:rPr>
          <w:t>112</w:t>
        </w:r>
      </w:hyperlink>
      <w:r w:rsidRPr="00556AA6">
        <w:rPr>
          <w:sz w:val="28"/>
          <w:szCs w:val="28"/>
          <w:lang w:val="en-GB"/>
        </w:rPr>
        <w:t>]. Studies using two-dimensional gel electrophoresis have shown that several stress response systems are expressed in response to cadmium exposure, including those for heat shock, oxidative stress, stringent response, cold shock, and SOS [</w:t>
      </w:r>
      <w:hyperlink r:id="rId209" w:anchor="R113" w:history="1">
        <w:r w:rsidRPr="00556AA6">
          <w:rPr>
            <w:rStyle w:val="ac"/>
            <w:color w:val="auto"/>
            <w:sz w:val="28"/>
            <w:szCs w:val="28"/>
            <w:lang w:val="en-GB"/>
          </w:rPr>
          <w:t>113</w:t>
        </w:r>
      </w:hyperlink>
      <w:r w:rsidRPr="00556AA6">
        <w:rPr>
          <w:sz w:val="28"/>
          <w:szCs w:val="28"/>
          <w:lang w:val="en-GB"/>
        </w:rPr>
        <w:t>– </w:t>
      </w:r>
      <w:hyperlink r:id="rId210" w:anchor="R115" w:history="1">
        <w:r w:rsidRPr="00556AA6">
          <w:rPr>
            <w:rStyle w:val="ac"/>
            <w:color w:val="auto"/>
            <w:sz w:val="28"/>
            <w:szCs w:val="28"/>
            <w:lang w:val="en-GB"/>
          </w:rPr>
          <w:t>115</w:t>
        </w:r>
      </w:hyperlink>
      <w:r w:rsidRPr="00556AA6">
        <w:rPr>
          <w:sz w:val="28"/>
          <w:szCs w:val="28"/>
          <w:lang w:val="en-GB"/>
        </w:rPr>
        <w:t>]. </w:t>
      </w:r>
      <w:r w:rsidRPr="00556AA6">
        <w:rPr>
          <w:rStyle w:val="af4"/>
          <w:sz w:val="28"/>
          <w:szCs w:val="28"/>
          <w:lang w:val="en-GB"/>
        </w:rPr>
        <w:t>In vitro</w:t>
      </w:r>
      <w:r w:rsidRPr="00556AA6">
        <w:rPr>
          <w:sz w:val="28"/>
          <w:szCs w:val="28"/>
          <w:lang w:val="en-GB"/>
        </w:rPr>
        <w:t> studies indicate that cadmium induces cytotoxic effects at the concentrations 0.1 to 10 mM and free radical-dependent DNA damage [</w:t>
      </w:r>
      <w:hyperlink r:id="rId211" w:anchor="R116" w:history="1">
        <w:r w:rsidRPr="00556AA6">
          <w:rPr>
            <w:rStyle w:val="ac"/>
            <w:color w:val="auto"/>
            <w:sz w:val="28"/>
            <w:szCs w:val="28"/>
            <w:lang w:val="en-GB"/>
          </w:rPr>
          <w:t>116</w:t>
        </w:r>
      </w:hyperlink>
      <w:r w:rsidRPr="00556AA6">
        <w:rPr>
          <w:sz w:val="28"/>
          <w:szCs w:val="28"/>
          <w:lang w:val="en-GB"/>
        </w:rPr>
        <w:t>, </w:t>
      </w:r>
      <w:hyperlink r:id="rId212" w:anchor="R117" w:history="1">
        <w:r w:rsidRPr="00556AA6">
          <w:rPr>
            <w:rStyle w:val="ac"/>
            <w:color w:val="auto"/>
            <w:sz w:val="28"/>
            <w:szCs w:val="28"/>
            <w:lang w:val="en-GB"/>
          </w:rPr>
          <w:t>117</w:t>
        </w:r>
      </w:hyperlink>
      <w:r w:rsidRPr="00556AA6">
        <w:rPr>
          <w:sz w:val="28"/>
          <w:szCs w:val="28"/>
          <w:lang w:val="en-GB"/>
        </w:rPr>
        <w:t>]. </w:t>
      </w:r>
      <w:r w:rsidRPr="00556AA6">
        <w:rPr>
          <w:rStyle w:val="af4"/>
          <w:sz w:val="28"/>
          <w:szCs w:val="28"/>
          <w:lang w:val="en-GB"/>
        </w:rPr>
        <w:t>In vivo</w:t>
      </w:r>
      <w:r w:rsidRPr="00556AA6">
        <w:rPr>
          <w:sz w:val="28"/>
          <w:szCs w:val="28"/>
          <w:lang w:val="en-GB"/>
        </w:rPr>
        <w:t> studies have shown that cadmium modulates male reproduction in mice model at a concentration of 1 mg/kg body weight [</w:t>
      </w:r>
      <w:hyperlink r:id="rId213" w:anchor="R118" w:history="1">
        <w:r w:rsidRPr="00556AA6">
          <w:rPr>
            <w:rStyle w:val="ac"/>
            <w:color w:val="auto"/>
            <w:sz w:val="28"/>
            <w:szCs w:val="28"/>
            <w:lang w:val="en-GB"/>
          </w:rPr>
          <w:t>118</w:t>
        </w:r>
      </w:hyperlink>
      <w:r w:rsidRPr="00556AA6">
        <w:rPr>
          <w:sz w:val="28"/>
          <w:szCs w:val="28"/>
          <w:lang w:val="en-GB"/>
        </w:rPr>
        <w:t>]. However, cadmium is a weak mutagen when compared with other carcinogenic metals [</w:t>
      </w:r>
      <w:hyperlink r:id="rId214" w:anchor="R119" w:history="1">
        <w:r w:rsidRPr="00556AA6">
          <w:rPr>
            <w:rStyle w:val="ac"/>
            <w:color w:val="auto"/>
            <w:sz w:val="28"/>
            <w:szCs w:val="28"/>
            <w:lang w:val="en-GB"/>
          </w:rPr>
          <w:t>119</w:t>
        </w:r>
      </w:hyperlink>
      <w:r w:rsidRPr="00556AA6">
        <w:rPr>
          <w:sz w:val="28"/>
          <w:szCs w:val="28"/>
          <w:lang w:val="en-GB"/>
        </w:rPr>
        <w:t>]. Previous reports have indicated that cadmium affects signal transduction pathways; inducing inositol polyphosphate formation, increasing cytosolic free calcium levels in various cell types [</w:t>
      </w:r>
      <w:hyperlink r:id="rId215" w:anchor="R120" w:history="1">
        <w:r w:rsidRPr="00556AA6">
          <w:rPr>
            <w:rStyle w:val="ac"/>
            <w:color w:val="auto"/>
            <w:sz w:val="28"/>
            <w:szCs w:val="28"/>
            <w:lang w:val="en-GB"/>
          </w:rPr>
          <w:t>120</w:t>
        </w:r>
      </w:hyperlink>
      <w:r w:rsidRPr="00556AA6">
        <w:rPr>
          <w:sz w:val="28"/>
          <w:szCs w:val="28"/>
          <w:lang w:val="en-GB"/>
        </w:rPr>
        <w:t>], and blocking calcium channels [</w:t>
      </w:r>
      <w:hyperlink r:id="rId216" w:anchor="R121" w:history="1">
        <w:r w:rsidRPr="00556AA6">
          <w:rPr>
            <w:rStyle w:val="ac"/>
            <w:color w:val="auto"/>
            <w:sz w:val="28"/>
            <w:szCs w:val="28"/>
            <w:lang w:val="en-GB"/>
          </w:rPr>
          <w:t>121</w:t>
        </w:r>
      </w:hyperlink>
      <w:r w:rsidRPr="00556AA6">
        <w:rPr>
          <w:sz w:val="28"/>
          <w:szCs w:val="28"/>
          <w:lang w:val="en-GB"/>
        </w:rPr>
        <w:t>, </w:t>
      </w:r>
      <w:hyperlink r:id="rId217" w:anchor="R122" w:history="1">
        <w:r w:rsidRPr="00556AA6">
          <w:rPr>
            <w:rStyle w:val="ac"/>
            <w:color w:val="auto"/>
            <w:sz w:val="28"/>
            <w:szCs w:val="28"/>
            <w:lang w:val="en-GB"/>
          </w:rPr>
          <w:t>122</w:t>
        </w:r>
      </w:hyperlink>
      <w:r w:rsidRPr="00556AA6">
        <w:rPr>
          <w:sz w:val="28"/>
          <w:szCs w:val="28"/>
          <w:lang w:val="en-GB"/>
        </w:rPr>
        <w:t>]. At lower concentrations (1–100 µM), cadmium binds to proteins, decreases DNA repair [</w:t>
      </w:r>
      <w:hyperlink r:id="rId218" w:anchor="R123" w:history="1">
        <w:r w:rsidRPr="00556AA6">
          <w:rPr>
            <w:rStyle w:val="ac"/>
            <w:color w:val="auto"/>
            <w:sz w:val="28"/>
            <w:szCs w:val="28"/>
            <w:lang w:val="en-GB"/>
          </w:rPr>
          <w:t>123</w:t>
        </w:r>
      </w:hyperlink>
      <w:r w:rsidRPr="00556AA6">
        <w:rPr>
          <w:sz w:val="28"/>
          <w:szCs w:val="28"/>
          <w:lang w:val="en-GB"/>
        </w:rPr>
        <w:t>], activates protein degradation, up-regulates cytokines and proto-oncogenes such as c-</w:t>
      </w:r>
      <w:r w:rsidRPr="00556AA6">
        <w:rPr>
          <w:rStyle w:val="af4"/>
          <w:sz w:val="28"/>
          <w:szCs w:val="28"/>
          <w:lang w:val="en-GB"/>
        </w:rPr>
        <w:t>fos</w:t>
      </w:r>
      <w:r w:rsidRPr="00556AA6">
        <w:rPr>
          <w:sz w:val="28"/>
          <w:szCs w:val="28"/>
          <w:lang w:val="en-GB"/>
        </w:rPr>
        <w:t>, c-</w:t>
      </w:r>
      <w:r w:rsidRPr="00556AA6">
        <w:rPr>
          <w:rStyle w:val="af4"/>
          <w:sz w:val="28"/>
          <w:szCs w:val="28"/>
          <w:lang w:val="en-GB"/>
        </w:rPr>
        <w:t>jun</w:t>
      </w:r>
      <w:r w:rsidRPr="00556AA6">
        <w:rPr>
          <w:sz w:val="28"/>
          <w:szCs w:val="28"/>
          <w:lang w:val="en-GB"/>
        </w:rPr>
        <w:t>, and c-</w:t>
      </w:r>
      <w:r w:rsidRPr="00556AA6">
        <w:rPr>
          <w:rStyle w:val="af4"/>
          <w:sz w:val="28"/>
          <w:szCs w:val="28"/>
          <w:lang w:val="en-GB"/>
        </w:rPr>
        <w:t>myc</w:t>
      </w:r>
      <w:r w:rsidRPr="00556AA6">
        <w:rPr>
          <w:sz w:val="28"/>
          <w:szCs w:val="28"/>
          <w:lang w:val="en-GB"/>
        </w:rPr>
        <w:t> [</w:t>
      </w:r>
      <w:hyperlink r:id="rId219" w:anchor="R124" w:history="1">
        <w:r w:rsidRPr="00556AA6">
          <w:rPr>
            <w:rStyle w:val="ac"/>
            <w:color w:val="auto"/>
            <w:sz w:val="28"/>
            <w:szCs w:val="28"/>
            <w:lang w:val="en-GB"/>
          </w:rPr>
          <w:t>124</w:t>
        </w:r>
      </w:hyperlink>
      <w:r w:rsidRPr="00556AA6">
        <w:rPr>
          <w:sz w:val="28"/>
          <w:szCs w:val="28"/>
          <w:lang w:val="en-GB"/>
        </w:rPr>
        <w:t>], and induces expression of several genes including metallothioneins [</w:t>
      </w:r>
      <w:hyperlink r:id="rId220" w:anchor="R125" w:history="1">
        <w:r w:rsidRPr="00556AA6">
          <w:rPr>
            <w:rStyle w:val="ac"/>
            <w:color w:val="auto"/>
            <w:sz w:val="28"/>
            <w:szCs w:val="28"/>
            <w:lang w:val="en-GB"/>
          </w:rPr>
          <w:t>125</w:t>
        </w:r>
      </w:hyperlink>
      <w:r w:rsidRPr="00556AA6">
        <w:rPr>
          <w:sz w:val="28"/>
          <w:szCs w:val="28"/>
          <w:lang w:val="en-GB"/>
        </w:rPr>
        <w:t xml:space="preserve">], heme oxygenases, glutathione transferases, heat-shock proteins, acute-phase reactants, and DNA polymerase </w:t>
      </w:r>
      <w:r w:rsidRPr="00556AA6">
        <w:rPr>
          <w:sz w:val="28"/>
          <w:szCs w:val="28"/>
        </w:rPr>
        <w:t>β</w:t>
      </w:r>
      <w:r w:rsidRPr="00556AA6">
        <w:rPr>
          <w:sz w:val="28"/>
          <w:szCs w:val="28"/>
          <w:lang w:val="en-GB"/>
        </w:rPr>
        <w:t xml:space="preserve"> [</w:t>
      </w:r>
      <w:hyperlink r:id="rId221" w:anchor="R126" w:history="1">
        <w:r w:rsidRPr="00556AA6">
          <w:rPr>
            <w:rStyle w:val="ac"/>
            <w:color w:val="auto"/>
            <w:sz w:val="28"/>
            <w:szCs w:val="28"/>
            <w:lang w:val="en-GB"/>
          </w:rPr>
          <w:t>126</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Cadmium compounds are classified as human carcinogens by several regulatory agencies. The International Agency for Research on Cancer [</w:t>
      </w:r>
      <w:hyperlink r:id="rId222" w:anchor="R91" w:history="1">
        <w:r w:rsidRPr="00556AA6">
          <w:rPr>
            <w:rStyle w:val="ac"/>
            <w:color w:val="auto"/>
            <w:sz w:val="28"/>
            <w:szCs w:val="28"/>
            <w:lang w:val="en-GB"/>
          </w:rPr>
          <w:t>91</w:t>
        </w:r>
      </w:hyperlink>
      <w:r w:rsidRPr="00556AA6">
        <w:rPr>
          <w:sz w:val="28"/>
          <w:szCs w:val="28"/>
          <w:lang w:val="en-GB"/>
        </w:rPr>
        <w:t>] and the U.S. National Toxicology Program have concluded that there is adequate evidence that cadmium is a human carcinogen. This designation as a human carcinogen is based primarily on repeated findings of an association between occupational cadmium exposure and lung cancer, as well as on very strong rodent data showing the pulmonary system as a target site [</w:t>
      </w:r>
      <w:hyperlink r:id="rId223" w:anchor="R91" w:history="1">
        <w:r w:rsidRPr="00556AA6">
          <w:rPr>
            <w:rStyle w:val="ac"/>
            <w:color w:val="auto"/>
            <w:sz w:val="28"/>
            <w:szCs w:val="28"/>
            <w:lang w:val="en-GB"/>
          </w:rPr>
          <w:t>91</w:t>
        </w:r>
      </w:hyperlink>
      <w:r w:rsidRPr="00556AA6">
        <w:rPr>
          <w:sz w:val="28"/>
          <w:szCs w:val="28"/>
          <w:lang w:val="en-GB"/>
        </w:rPr>
        <w:t>]. Thus, the lung is the most definitively established site of human carcinogenesis from cadmium exposure. Other target tissues of cadmium carcinogenesis in animals include injection sites, adrenals, testes, and the hemopoietic system [</w:t>
      </w:r>
      <w:hyperlink r:id="rId224" w:anchor="R91" w:history="1">
        <w:r w:rsidRPr="00556AA6">
          <w:rPr>
            <w:rStyle w:val="ac"/>
            <w:color w:val="auto"/>
            <w:sz w:val="28"/>
            <w:szCs w:val="28"/>
            <w:lang w:val="en-GB"/>
          </w:rPr>
          <w:t>91</w:t>
        </w:r>
      </w:hyperlink>
      <w:r w:rsidRPr="00556AA6">
        <w:rPr>
          <w:sz w:val="28"/>
          <w:szCs w:val="28"/>
          <w:lang w:val="en-GB"/>
        </w:rPr>
        <w:t>, </w:t>
      </w:r>
      <w:hyperlink r:id="rId225" w:anchor="R108" w:history="1">
        <w:r w:rsidRPr="00556AA6">
          <w:rPr>
            <w:rStyle w:val="ac"/>
            <w:color w:val="auto"/>
            <w:sz w:val="28"/>
            <w:szCs w:val="28"/>
            <w:lang w:val="en-GB"/>
          </w:rPr>
          <w:t>108</w:t>
        </w:r>
      </w:hyperlink>
      <w:r w:rsidRPr="00556AA6">
        <w:rPr>
          <w:sz w:val="28"/>
          <w:szCs w:val="28"/>
          <w:lang w:val="en-GB"/>
        </w:rPr>
        <w:t>, </w:t>
      </w:r>
      <w:hyperlink r:id="rId226" w:anchor="R109" w:history="1">
        <w:proofErr w:type="gramStart"/>
        <w:r w:rsidRPr="00556AA6">
          <w:rPr>
            <w:rStyle w:val="ac"/>
            <w:color w:val="auto"/>
            <w:sz w:val="28"/>
            <w:szCs w:val="28"/>
            <w:lang w:val="en-GB"/>
          </w:rPr>
          <w:t>109</w:t>
        </w:r>
        <w:proofErr w:type="gramEnd"/>
      </w:hyperlink>
      <w:r w:rsidRPr="00556AA6">
        <w:rPr>
          <w:sz w:val="28"/>
          <w:szCs w:val="28"/>
          <w:lang w:val="en-GB"/>
        </w:rPr>
        <w:t>]. In some studies, occupational or environmental cadmium exposure has also been associated with development of cancers of the prostate, kidney, liver, hematopoietic system and stomach [</w:t>
      </w:r>
      <w:hyperlink r:id="rId227" w:anchor="R108" w:history="1">
        <w:r w:rsidRPr="00556AA6">
          <w:rPr>
            <w:rStyle w:val="ac"/>
            <w:color w:val="auto"/>
            <w:sz w:val="28"/>
            <w:szCs w:val="28"/>
            <w:lang w:val="en-GB"/>
          </w:rPr>
          <w:t>108</w:t>
        </w:r>
      </w:hyperlink>
      <w:r w:rsidRPr="00556AA6">
        <w:rPr>
          <w:sz w:val="28"/>
          <w:szCs w:val="28"/>
          <w:lang w:val="en-GB"/>
        </w:rPr>
        <w:t>, </w:t>
      </w:r>
      <w:hyperlink r:id="rId228" w:anchor="R109" w:history="1">
        <w:r w:rsidRPr="00556AA6">
          <w:rPr>
            <w:rStyle w:val="ac"/>
            <w:color w:val="auto"/>
            <w:sz w:val="28"/>
            <w:szCs w:val="28"/>
            <w:lang w:val="en-GB"/>
          </w:rPr>
          <w:t>109</w:t>
        </w:r>
      </w:hyperlink>
      <w:r w:rsidRPr="00556AA6">
        <w:rPr>
          <w:sz w:val="28"/>
          <w:szCs w:val="28"/>
          <w:lang w:val="en-GB"/>
        </w:rPr>
        <w:t xml:space="preserve">]. Carcinogenic metals including arsenic, cadmium, chromium, and </w:t>
      </w:r>
      <w:r w:rsidRPr="00556AA6">
        <w:rPr>
          <w:sz w:val="28"/>
          <w:szCs w:val="28"/>
          <w:lang w:val="en-GB"/>
        </w:rPr>
        <w:lastRenderedPageBreak/>
        <w:t>nickel have all been associated with DNA damage through base pair mutation, deletion, or oxygen radical attack on DNA [</w:t>
      </w:r>
      <w:hyperlink r:id="rId229" w:anchor="R126" w:history="1">
        <w:r w:rsidRPr="00556AA6">
          <w:rPr>
            <w:rStyle w:val="ac"/>
            <w:color w:val="auto"/>
            <w:sz w:val="28"/>
            <w:szCs w:val="28"/>
            <w:lang w:val="en-GB"/>
          </w:rPr>
          <w:t>126</w:t>
        </w:r>
      </w:hyperlink>
      <w:r w:rsidRPr="00556AA6">
        <w:rPr>
          <w:sz w:val="28"/>
          <w:szCs w:val="28"/>
          <w:lang w:val="en-GB"/>
        </w:rPr>
        <w:t>]. Animal studies have demonstrated reproductive and teratogenic effects. Small epidemiologic studies have noted an inverse relationship between cadmium in cord blood, maternal blood or maternal urine and birth weight and length at birth [</w:t>
      </w:r>
      <w:hyperlink r:id="rId230" w:anchor="R127" w:history="1">
        <w:r w:rsidRPr="00556AA6">
          <w:rPr>
            <w:rStyle w:val="ac"/>
            <w:color w:val="auto"/>
            <w:sz w:val="28"/>
            <w:szCs w:val="28"/>
            <w:lang w:val="en-GB"/>
          </w:rPr>
          <w:t>127</w:t>
        </w:r>
      </w:hyperlink>
      <w:r w:rsidRPr="00556AA6">
        <w:rPr>
          <w:sz w:val="28"/>
          <w:szCs w:val="28"/>
          <w:lang w:val="en-GB"/>
        </w:rPr>
        <w:t>, </w:t>
      </w:r>
      <w:hyperlink r:id="rId231" w:anchor="R128" w:history="1">
        <w:r w:rsidRPr="00556AA6">
          <w:rPr>
            <w:rStyle w:val="ac"/>
            <w:color w:val="auto"/>
            <w:sz w:val="28"/>
            <w:szCs w:val="28"/>
            <w:lang w:val="en-GB"/>
          </w:rPr>
          <w:t>128</w:t>
        </w:r>
      </w:hyperlink>
      <w:r w:rsidRPr="00556AA6">
        <w:rPr>
          <w:sz w:val="28"/>
          <w:szCs w:val="28"/>
          <w:lang w:val="en-GB"/>
        </w:rPr>
        <w:t>].</w:t>
      </w: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r w:rsidRPr="00556AA6">
        <w:rPr>
          <w:rFonts w:ascii="Times New Roman" w:hAnsi="Times New Roman" w:cs="Times New Roman"/>
          <w:color w:val="auto"/>
          <w:sz w:val="28"/>
          <w:szCs w:val="28"/>
          <w:lang w:val="en-GB"/>
        </w:rPr>
        <w:t>Chromium</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Environmental Occurrence, Industrial Production and Use</w:t>
      </w:r>
    </w:p>
    <w:p w:rsidR="000C05D1" w:rsidRPr="00556AA6" w:rsidRDefault="000C05D1" w:rsidP="000C05D1">
      <w:pPr>
        <w:pStyle w:val="pp-first-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Chromium (Cr) is a naturally occurring element present in the earth’s crust, with oxidation states (or valence states) ranging from chromium (II) to chromium (VI) [</w:t>
      </w:r>
      <w:hyperlink r:id="rId232" w:anchor="R129" w:history="1">
        <w:r w:rsidRPr="00556AA6">
          <w:rPr>
            <w:rStyle w:val="ac"/>
            <w:color w:val="auto"/>
            <w:sz w:val="28"/>
            <w:szCs w:val="28"/>
            <w:lang w:val="en-GB"/>
          </w:rPr>
          <w:t>129</w:t>
        </w:r>
      </w:hyperlink>
      <w:r w:rsidRPr="00556AA6">
        <w:rPr>
          <w:sz w:val="28"/>
          <w:szCs w:val="28"/>
          <w:lang w:val="en-GB"/>
        </w:rPr>
        <w:t>]. Chromium compounds are stable in the trivalent [</w:t>
      </w:r>
      <w:proofErr w:type="gramStart"/>
      <w:r w:rsidRPr="00556AA6">
        <w:rPr>
          <w:sz w:val="28"/>
          <w:szCs w:val="28"/>
          <w:lang w:val="en-GB"/>
        </w:rPr>
        <w:t>Cr(</w:t>
      </w:r>
      <w:proofErr w:type="gramEnd"/>
      <w:r w:rsidRPr="00556AA6">
        <w:rPr>
          <w:sz w:val="28"/>
          <w:szCs w:val="28"/>
          <w:lang w:val="en-GB"/>
        </w:rPr>
        <w:t>III)] form and occur in nature in this state in ores, such as ferrochromite. The hexavalent [</w:t>
      </w:r>
      <w:proofErr w:type="gramStart"/>
      <w:r w:rsidRPr="00556AA6">
        <w:rPr>
          <w:sz w:val="28"/>
          <w:szCs w:val="28"/>
          <w:lang w:val="en-GB"/>
        </w:rPr>
        <w:t>Cr(</w:t>
      </w:r>
      <w:proofErr w:type="gramEnd"/>
      <w:r w:rsidRPr="00556AA6">
        <w:rPr>
          <w:sz w:val="28"/>
          <w:szCs w:val="28"/>
          <w:lang w:val="en-GB"/>
        </w:rPr>
        <w:t>VI)] form is the second-most stable state [</w:t>
      </w:r>
      <w:hyperlink r:id="rId233" w:anchor="R28" w:history="1">
        <w:r w:rsidRPr="00556AA6">
          <w:rPr>
            <w:rStyle w:val="ac"/>
            <w:color w:val="auto"/>
            <w:sz w:val="28"/>
            <w:szCs w:val="28"/>
            <w:lang w:val="en-GB"/>
          </w:rPr>
          <w:t>28</w:t>
        </w:r>
      </w:hyperlink>
      <w:r w:rsidRPr="00556AA6">
        <w:rPr>
          <w:sz w:val="28"/>
          <w:szCs w:val="28"/>
          <w:lang w:val="en-GB"/>
        </w:rPr>
        <w:t>]. Elemental chromium [</w:t>
      </w:r>
      <w:proofErr w:type="gramStart"/>
      <w:r w:rsidRPr="00556AA6">
        <w:rPr>
          <w:sz w:val="28"/>
          <w:szCs w:val="28"/>
          <w:lang w:val="en-GB"/>
        </w:rPr>
        <w:t>Cr(</w:t>
      </w:r>
      <w:proofErr w:type="gramEnd"/>
      <w:r w:rsidRPr="00556AA6">
        <w:rPr>
          <w:sz w:val="28"/>
          <w:szCs w:val="28"/>
          <w:lang w:val="en-GB"/>
        </w:rPr>
        <w:t>0)] does not occur naturally. Chromium enters into various environmental matrices (air, water, and soil) from a wide variety of natural and anthropogenic sources with the largest release coming from industrial establishments. Industries with the largest contribution to chromium release include metal processing, tannery facilities, chromate production, stainless steel welding, and ferrochrome and chrome pigment production. The increase in the environmental concentrations of chromium has been linked to air and wastewater release of chromium, mainly from metallurgical, refractory, and chemical industries. Chromium released into the environment from anthropogenic activity occurs mainly in the hexavalent form [</w:t>
      </w:r>
      <w:proofErr w:type="gramStart"/>
      <w:r w:rsidRPr="00556AA6">
        <w:rPr>
          <w:sz w:val="28"/>
          <w:szCs w:val="28"/>
          <w:lang w:val="en-GB"/>
        </w:rPr>
        <w:t>Cr(</w:t>
      </w:r>
      <w:proofErr w:type="gramEnd"/>
      <w:r w:rsidRPr="00556AA6">
        <w:rPr>
          <w:sz w:val="28"/>
          <w:szCs w:val="28"/>
          <w:lang w:val="en-GB"/>
        </w:rPr>
        <w:t>VI)] [</w:t>
      </w:r>
      <w:hyperlink r:id="rId234" w:anchor="R130" w:history="1">
        <w:r w:rsidRPr="00556AA6">
          <w:rPr>
            <w:rStyle w:val="ac"/>
            <w:color w:val="auto"/>
            <w:sz w:val="28"/>
            <w:szCs w:val="28"/>
            <w:lang w:val="en-GB"/>
          </w:rPr>
          <w:t>130</w:t>
        </w:r>
      </w:hyperlink>
      <w:r w:rsidRPr="00556AA6">
        <w:rPr>
          <w:sz w:val="28"/>
          <w:szCs w:val="28"/>
          <w:lang w:val="en-GB"/>
        </w:rPr>
        <w:t>]. Hexavalent chromium [</w:t>
      </w:r>
      <w:proofErr w:type="gramStart"/>
      <w:r w:rsidRPr="00556AA6">
        <w:rPr>
          <w:sz w:val="28"/>
          <w:szCs w:val="28"/>
          <w:lang w:val="en-GB"/>
        </w:rPr>
        <w:t>Cr(</w:t>
      </w:r>
      <w:proofErr w:type="gramEnd"/>
      <w:r w:rsidRPr="00556AA6">
        <w:rPr>
          <w:sz w:val="28"/>
          <w:szCs w:val="28"/>
          <w:lang w:val="en-GB"/>
        </w:rPr>
        <w:t>VI)] is a toxic industrial pollutant that is classified as human carcinogen by several regulatory and non-regulatory agencies [</w:t>
      </w:r>
      <w:hyperlink r:id="rId235" w:anchor="R130" w:history="1">
        <w:r w:rsidRPr="00556AA6">
          <w:rPr>
            <w:rStyle w:val="ac"/>
            <w:color w:val="auto"/>
            <w:sz w:val="28"/>
            <w:szCs w:val="28"/>
            <w:lang w:val="en-GB"/>
          </w:rPr>
          <w:t>130</w:t>
        </w:r>
      </w:hyperlink>
      <w:r w:rsidRPr="00556AA6">
        <w:rPr>
          <w:sz w:val="28"/>
          <w:szCs w:val="28"/>
          <w:lang w:val="en-GB"/>
        </w:rPr>
        <w:t>–</w:t>
      </w:r>
      <w:hyperlink r:id="rId236" w:anchor="R132" w:history="1">
        <w:r w:rsidRPr="00556AA6">
          <w:rPr>
            <w:rStyle w:val="ac"/>
            <w:color w:val="auto"/>
            <w:sz w:val="28"/>
            <w:szCs w:val="28"/>
            <w:lang w:val="en-GB"/>
          </w:rPr>
          <w:t>132</w:t>
        </w:r>
      </w:hyperlink>
      <w:r w:rsidRPr="00556AA6">
        <w:rPr>
          <w:sz w:val="28"/>
          <w:szCs w:val="28"/>
          <w:lang w:val="en-GB"/>
        </w:rPr>
        <w:t xml:space="preserve">]. The health hazard associated with exposure to chromium depends on its oxidation state, ranging from the low toxicity of the metal form to the high toxicity of the hexavalent form. All </w:t>
      </w:r>
      <w:proofErr w:type="gramStart"/>
      <w:r w:rsidRPr="00556AA6">
        <w:rPr>
          <w:sz w:val="28"/>
          <w:szCs w:val="28"/>
          <w:lang w:val="en-GB"/>
        </w:rPr>
        <w:t>Cr(</w:t>
      </w:r>
      <w:proofErr w:type="gramEnd"/>
      <w:r w:rsidRPr="00556AA6">
        <w:rPr>
          <w:sz w:val="28"/>
          <w:szCs w:val="28"/>
          <w:lang w:val="en-GB"/>
        </w:rPr>
        <w:t xml:space="preserve">VI)-containing compounds were once thought to be man-made, with only Cr(III) naturally ubiquitous in air, water, soil and biological materials. Recently, however, naturally occurring </w:t>
      </w:r>
      <w:proofErr w:type="gramStart"/>
      <w:r w:rsidRPr="00556AA6">
        <w:rPr>
          <w:sz w:val="28"/>
          <w:szCs w:val="28"/>
          <w:lang w:val="en-GB"/>
        </w:rPr>
        <w:t>Cr(</w:t>
      </w:r>
      <w:proofErr w:type="gramEnd"/>
      <w:r w:rsidRPr="00556AA6">
        <w:rPr>
          <w:sz w:val="28"/>
          <w:szCs w:val="28"/>
          <w:lang w:val="en-GB"/>
        </w:rPr>
        <w:t>VI) has been found in ground and surface waters at values exceeding the World Health Organization limit for drinking water of 50 µg of Cr(VI) per liter [</w:t>
      </w:r>
      <w:hyperlink r:id="rId237" w:anchor="R133" w:history="1">
        <w:r w:rsidRPr="00556AA6">
          <w:rPr>
            <w:rStyle w:val="ac"/>
            <w:color w:val="auto"/>
            <w:sz w:val="28"/>
            <w:szCs w:val="28"/>
            <w:lang w:val="en-GB"/>
          </w:rPr>
          <w:t>133</w:t>
        </w:r>
      </w:hyperlink>
      <w:r w:rsidRPr="00556AA6">
        <w:rPr>
          <w:sz w:val="28"/>
          <w:szCs w:val="28"/>
          <w:lang w:val="en-GB"/>
        </w:rPr>
        <w:t>]. Chromium is widely used in numerous industrial processes and as a result, is a contaminant of many environmental systems [</w:t>
      </w:r>
      <w:hyperlink r:id="rId238" w:anchor="R134" w:history="1">
        <w:r w:rsidRPr="00556AA6">
          <w:rPr>
            <w:rStyle w:val="ac"/>
            <w:color w:val="auto"/>
            <w:sz w:val="28"/>
            <w:szCs w:val="28"/>
            <w:lang w:val="en-GB"/>
          </w:rPr>
          <w:t>134</w:t>
        </w:r>
      </w:hyperlink>
      <w:r w:rsidRPr="00556AA6">
        <w:rPr>
          <w:sz w:val="28"/>
          <w:szCs w:val="28"/>
          <w:lang w:val="en-GB"/>
        </w:rPr>
        <w:t>]. Commercially chromium compounds are used in industrial welding, chrome plating, dyes and pigments, leather tanning and wood preservation. Chromium is also used as anticorrosive in cooking systems and boilers [</w:t>
      </w:r>
      <w:hyperlink r:id="rId239" w:anchor="R135" w:history="1">
        <w:r w:rsidRPr="00556AA6">
          <w:rPr>
            <w:rStyle w:val="ac"/>
            <w:color w:val="auto"/>
            <w:sz w:val="28"/>
            <w:szCs w:val="28"/>
            <w:lang w:val="en-GB"/>
          </w:rPr>
          <w:t>135</w:t>
        </w:r>
      </w:hyperlink>
      <w:r w:rsidRPr="00556AA6">
        <w:rPr>
          <w:sz w:val="28"/>
          <w:szCs w:val="28"/>
          <w:lang w:val="en-GB"/>
        </w:rPr>
        <w:t>, </w:t>
      </w:r>
      <w:hyperlink r:id="rId240" w:anchor="R136" w:history="1">
        <w:r w:rsidRPr="00556AA6">
          <w:rPr>
            <w:rStyle w:val="ac"/>
            <w:color w:val="auto"/>
            <w:sz w:val="28"/>
            <w:szCs w:val="28"/>
            <w:lang w:val="en-GB"/>
          </w:rPr>
          <w:t>136</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Potential for Human Exposure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It is estimated that more than 300,000 workers are exposed annually to chromium and chromium-containing compounds in the workplace. In humans and animals, [</w:t>
      </w:r>
      <w:proofErr w:type="gramStart"/>
      <w:r w:rsidRPr="00556AA6">
        <w:rPr>
          <w:sz w:val="28"/>
          <w:szCs w:val="28"/>
          <w:lang w:val="en-GB"/>
        </w:rPr>
        <w:t>Cr(</w:t>
      </w:r>
      <w:proofErr w:type="gramEnd"/>
      <w:r w:rsidRPr="00556AA6">
        <w:rPr>
          <w:sz w:val="28"/>
          <w:szCs w:val="28"/>
          <w:lang w:val="en-GB"/>
        </w:rPr>
        <w:t>III)] is an essential nutrient that plays a role in glucose, fat and protein metabolism by potentiating the action of insulin [</w:t>
      </w:r>
      <w:hyperlink r:id="rId241" w:anchor="R5" w:history="1">
        <w:r w:rsidRPr="00556AA6">
          <w:rPr>
            <w:rStyle w:val="ac"/>
            <w:color w:val="auto"/>
            <w:sz w:val="28"/>
            <w:szCs w:val="28"/>
            <w:lang w:val="en-GB"/>
          </w:rPr>
          <w:t>5</w:t>
        </w:r>
      </w:hyperlink>
      <w:r w:rsidRPr="00556AA6">
        <w:rPr>
          <w:sz w:val="28"/>
          <w:szCs w:val="28"/>
          <w:lang w:val="en-GB"/>
        </w:rPr>
        <w:t xml:space="preserve">]. However, occupational exposure has been a major concern because of the high risk of Cr-induced diseases in industrial workers occupationally exposed to </w:t>
      </w:r>
      <w:proofErr w:type="gramStart"/>
      <w:r w:rsidRPr="00556AA6">
        <w:rPr>
          <w:sz w:val="28"/>
          <w:szCs w:val="28"/>
          <w:lang w:val="en-GB"/>
        </w:rPr>
        <w:t>Cr(</w:t>
      </w:r>
      <w:proofErr w:type="gramEnd"/>
      <w:r w:rsidRPr="00556AA6">
        <w:rPr>
          <w:sz w:val="28"/>
          <w:szCs w:val="28"/>
          <w:lang w:val="en-GB"/>
        </w:rPr>
        <w:t>VI) [</w:t>
      </w:r>
      <w:hyperlink r:id="rId242" w:anchor="R137" w:history="1">
        <w:r w:rsidRPr="00556AA6">
          <w:rPr>
            <w:rStyle w:val="ac"/>
            <w:color w:val="auto"/>
            <w:sz w:val="28"/>
            <w:szCs w:val="28"/>
            <w:lang w:val="en-GB"/>
          </w:rPr>
          <w:t>137</w:t>
        </w:r>
      </w:hyperlink>
      <w:r w:rsidRPr="00556AA6">
        <w:rPr>
          <w:sz w:val="28"/>
          <w:szCs w:val="28"/>
          <w:lang w:val="en-GB"/>
        </w:rPr>
        <w:t>]. Also, the general human population and some wildlife may also be at risk. It is estimated that 33 tons of total Cr are released annually into the environment [</w:t>
      </w:r>
      <w:hyperlink r:id="rId243" w:anchor="R130" w:history="1">
        <w:r w:rsidRPr="00556AA6">
          <w:rPr>
            <w:rStyle w:val="ac"/>
            <w:color w:val="auto"/>
            <w:sz w:val="28"/>
            <w:szCs w:val="28"/>
            <w:lang w:val="en-GB"/>
          </w:rPr>
          <w:t>130</w:t>
        </w:r>
      </w:hyperlink>
      <w:r w:rsidRPr="00556AA6">
        <w:rPr>
          <w:sz w:val="28"/>
          <w:szCs w:val="28"/>
          <w:lang w:val="en-GB"/>
        </w:rPr>
        <w:t xml:space="preserve">]. The U.S. </w:t>
      </w:r>
      <w:r w:rsidRPr="00556AA6">
        <w:rPr>
          <w:sz w:val="28"/>
          <w:szCs w:val="28"/>
          <w:lang w:val="en-GB"/>
        </w:rPr>
        <w:lastRenderedPageBreak/>
        <w:t>Occupational Safety and Health Administration (OSHA) recently set a “safe” level of 5µg/m</w:t>
      </w:r>
      <w:r w:rsidRPr="00556AA6">
        <w:rPr>
          <w:sz w:val="28"/>
          <w:szCs w:val="28"/>
          <w:vertAlign w:val="superscript"/>
          <w:lang w:val="en-GB"/>
        </w:rPr>
        <w:t>3</w:t>
      </w:r>
      <w:r w:rsidRPr="00556AA6">
        <w:rPr>
          <w:sz w:val="28"/>
          <w:szCs w:val="28"/>
          <w:lang w:val="en-GB"/>
        </w:rPr>
        <w:t>, for an 8-hr time-weighted average, even though this revised level may still pose a carcinogenic risk [</w:t>
      </w:r>
      <w:hyperlink r:id="rId244" w:anchor="R138" w:history="1">
        <w:r w:rsidRPr="00556AA6">
          <w:rPr>
            <w:rStyle w:val="ac"/>
            <w:color w:val="auto"/>
            <w:sz w:val="28"/>
            <w:szCs w:val="28"/>
            <w:lang w:val="en-GB"/>
          </w:rPr>
          <w:t>138</w:t>
        </w:r>
      </w:hyperlink>
      <w:r w:rsidRPr="00556AA6">
        <w:rPr>
          <w:sz w:val="28"/>
          <w:szCs w:val="28"/>
          <w:lang w:val="en-GB"/>
        </w:rPr>
        <w:t>]. For the general human population, atmospheric levels range from 1 to 100 ng/</w:t>
      </w:r>
      <w:proofErr w:type="gramStart"/>
      <w:r w:rsidRPr="00556AA6">
        <w:rPr>
          <w:sz w:val="28"/>
          <w:szCs w:val="28"/>
          <w:lang w:val="en-GB"/>
        </w:rPr>
        <w:t>cm</w:t>
      </w:r>
      <w:r w:rsidRPr="00556AA6">
        <w:rPr>
          <w:sz w:val="28"/>
          <w:szCs w:val="28"/>
          <w:vertAlign w:val="superscript"/>
          <w:lang w:val="en-GB"/>
        </w:rPr>
        <w:t>3</w:t>
      </w:r>
      <w:r w:rsidRPr="00556AA6">
        <w:rPr>
          <w:sz w:val="28"/>
          <w:szCs w:val="28"/>
          <w:lang w:val="en-GB"/>
        </w:rPr>
        <w:t>[</w:t>
      </w:r>
      <w:proofErr w:type="gramEnd"/>
      <w:r w:rsidRPr="00556AA6">
        <w:rPr>
          <w:sz w:val="28"/>
          <w:szCs w:val="28"/>
        </w:rPr>
        <w:fldChar w:fldCharType="begin"/>
      </w:r>
      <w:r w:rsidRPr="00556AA6">
        <w:rPr>
          <w:sz w:val="28"/>
          <w:szCs w:val="28"/>
          <w:lang w:val="en-GB"/>
        </w:rPr>
        <w:instrText xml:space="preserve"> HYPERLINK "https://www.ncbi.nlm.nih.gov/pmc/articles/PMC4144270/" \l "R139" </w:instrText>
      </w:r>
      <w:r w:rsidRPr="00556AA6">
        <w:rPr>
          <w:sz w:val="28"/>
          <w:szCs w:val="28"/>
        </w:rPr>
        <w:fldChar w:fldCharType="separate"/>
      </w:r>
      <w:r w:rsidRPr="00556AA6">
        <w:rPr>
          <w:rStyle w:val="ac"/>
          <w:color w:val="auto"/>
          <w:sz w:val="28"/>
          <w:szCs w:val="28"/>
          <w:lang w:val="en-GB"/>
        </w:rPr>
        <w:t>139</w:t>
      </w:r>
      <w:r w:rsidRPr="00556AA6">
        <w:rPr>
          <w:sz w:val="28"/>
          <w:szCs w:val="28"/>
        </w:rPr>
        <w:fldChar w:fldCharType="end"/>
      </w:r>
      <w:r w:rsidRPr="00556AA6">
        <w:rPr>
          <w:sz w:val="28"/>
          <w:szCs w:val="28"/>
          <w:lang w:val="en-GB"/>
        </w:rPr>
        <w:t>], but can exceed this range in areas that are close to Cr manufacturing.</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Non-occupational exposure occurs via ingestion of chromium containing food and water whereas occupational exposure occurs via inhalation [</w:t>
      </w:r>
      <w:hyperlink r:id="rId245" w:anchor="R140" w:history="1">
        <w:r w:rsidRPr="00556AA6">
          <w:rPr>
            <w:rStyle w:val="ac"/>
            <w:color w:val="auto"/>
            <w:sz w:val="28"/>
            <w:szCs w:val="28"/>
            <w:lang w:val="en-GB"/>
          </w:rPr>
          <w:t>140</w:t>
        </w:r>
      </w:hyperlink>
      <w:r w:rsidRPr="00556AA6">
        <w:rPr>
          <w:sz w:val="28"/>
          <w:szCs w:val="28"/>
          <w:lang w:val="en-GB"/>
        </w:rPr>
        <w:t xml:space="preserve">]. Chromium concentrations range between 1 and 3000 mg/kg in soil, 5 to 800 µg/L in sea water, and </w:t>
      </w:r>
      <w:proofErr w:type="gramStart"/>
      <w:r w:rsidRPr="00556AA6">
        <w:rPr>
          <w:sz w:val="28"/>
          <w:szCs w:val="28"/>
          <w:lang w:val="en-GB"/>
        </w:rPr>
        <w:t>26 µg/L to 5.2 mg/L in rivers and lakes [</w:t>
      </w:r>
      <w:hyperlink r:id="rId246" w:anchor="R129" w:history="1">
        <w:r w:rsidRPr="00556AA6">
          <w:rPr>
            <w:rStyle w:val="ac"/>
            <w:color w:val="auto"/>
            <w:sz w:val="28"/>
            <w:szCs w:val="28"/>
            <w:lang w:val="en-GB"/>
          </w:rPr>
          <w:t>129</w:t>
        </w:r>
      </w:hyperlink>
      <w:r w:rsidRPr="00556AA6">
        <w:rPr>
          <w:sz w:val="28"/>
          <w:szCs w:val="28"/>
          <w:lang w:val="en-GB"/>
        </w:rPr>
        <w:t>]</w:t>
      </w:r>
      <w:proofErr w:type="gramEnd"/>
      <w:r w:rsidRPr="00556AA6">
        <w:rPr>
          <w:sz w:val="28"/>
          <w:szCs w:val="28"/>
          <w:lang w:val="en-GB"/>
        </w:rPr>
        <w:t>. Chromium content in foods varies greatly and depends on the processing and preparation. In general, most fresh foods typically contain chromium levels ranging from &lt;10 to 1,300 µg/kg. Present day workers in chromium-related industries can be exposed to chromium concentrations two orders of magnitude higher than the general population [</w:t>
      </w:r>
      <w:hyperlink r:id="rId247" w:anchor="R141" w:history="1">
        <w:r w:rsidRPr="00556AA6">
          <w:rPr>
            <w:rStyle w:val="ac"/>
            <w:color w:val="auto"/>
            <w:sz w:val="28"/>
            <w:szCs w:val="28"/>
            <w:lang w:val="en-GB"/>
          </w:rPr>
          <w:t>141</w:t>
        </w:r>
      </w:hyperlink>
      <w:r w:rsidRPr="00556AA6">
        <w:rPr>
          <w:sz w:val="28"/>
          <w:szCs w:val="28"/>
          <w:lang w:val="en-GB"/>
        </w:rPr>
        <w:t>]. Even though the principal route of human exposure to chromium is through inhalation, and the lung is the primary target organ, significant human exposure to chromium has also been reported to take place through the skin [</w:t>
      </w:r>
      <w:hyperlink r:id="rId248" w:anchor="R142" w:history="1">
        <w:r w:rsidRPr="00556AA6">
          <w:rPr>
            <w:rStyle w:val="ac"/>
            <w:color w:val="auto"/>
            <w:sz w:val="28"/>
            <w:szCs w:val="28"/>
            <w:lang w:val="en-GB"/>
          </w:rPr>
          <w:t>142</w:t>
        </w:r>
      </w:hyperlink>
      <w:r w:rsidRPr="00556AA6">
        <w:rPr>
          <w:sz w:val="28"/>
          <w:szCs w:val="28"/>
          <w:lang w:val="en-GB"/>
        </w:rPr>
        <w:t>, </w:t>
      </w:r>
      <w:hyperlink r:id="rId249" w:anchor="R143" w:history="1">
        <w:r w:rsidRPr="00556AA6">
          <w:rPr>
            <w:rStyle w:val="ac"/>
            <w:color w:val="auto"/>
            <w:sz w:val="28"/>
            <w:szCs w:val="28"/>
            <w:lang w:val="en-GB"/>
          </w:rPr>
          <w:t>143</w:t>
        </w:r>
      </w:hyperlink>
      <w:r w:rsidRPr="00556AA6">
        <w:rPr>
          <w:sz w:val="28"/>
          <w:szCs w:val="28"/>
          <w:lang w:val="en-GB"/>
        </w:rPr>
        <w:t>]. For example, the widespread incidence of dermatitis noticed among construction workers is attributed to their exposure to chromium present in cement [</w:t>
      </w:r>
      <w:hyperlink r:id="rId250" w:anchor="R143" w:history="1">
        <w:r w:rsidRPr="00556AA6">
          <w:rPr>
            <w:rStyle w:val="ac"/>
            <w:color w:val="auto"/>
            <w:sz w:val="28"/>
            <w:szCs w:val="28"/>
            <w:lang w:val="en-GB"/>
          </w:rPr>
          <w:t>143</w:t>
        </w:r>
      </w:hyperlink>
      <w:r w:rsidRPr="00556AA6">
        <w:rPr>
          <w:sz w:val="28"/>
          <w:szCs w:val="28"/>
          <w:lang w:val="en-GB"/>
        </w:rPr>
        <w:t xml:space="preserve">]. Occupational and environmental exposure to </w:t>
      </w:r>
      <w:proofErr w:type="gramStart"/>
      <w:r w:rsidRPr="00556AA6">
        <w:rPr>
          <w:sz w:val="28"/>
          <w:szCs w:val="28"/>
          <w:lang w:val="en-GB"/>
        </w:rPr>
        <w:t>Cr(</w:t>
      </w:r>
      <w:proofErr w:type="gramEnd"/>
      <w:r w:rsidRPr="00556AA6">
        <w:rPr>
          <w:sz w:val="28"/>
          <w:szCs w:val="28"/>
          <w:lang w:val="en-GB"/>
        </w:rPr>
        <w:t>VI)-containing compounds is known to cause multiorgan toxicity such as renal damage, allergy and asthma, and cancer of the respiratory tract in humans [</w:t>
      </w:r>
      <w:hyperlink r:id="rId251" w:anchor="R5" w:history="1">
        <w:r w:rsidRPr="00556AA6">
          <w:rPr>
            <w:rStyle w:val="ac"/>
            <w:color w:val="auto"/>
            <w:sz w:val="28"/>
            <w:szCs w:val="28"/>
            <w:lang w:val="en-GB"/>
          </w:rPr>
          <w:t>5</w:t>
        </w:r>
      </w:hyperlink>
      <w:r w:rsidRPr="00556AA6">
        <w:rPr>
          <w:sz w:val="28"/>
          <w:szCs w:val="28"/>
          <w:lang w:val="en-GB"/>
        </w:rPr>
        <w:t>, </w:t>
      </w:r>
      <w:hyperlink r:id="rId252" w:anchor="R144" w:history="1">
        <w:r w:rsidRPr="00556AA6">
          <w:rPr>
            <w:rStyle w:val="ac"/>
            <w:color w:val="auto"/>
            <w:sz w:val="28"/>
            <w:szCs w:val="28"/>
            <w:lang w:val="en-GB"/>
          </w:rPr>
          <w:t>144</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Breathing high levels of chromium (VI) can cause irritation to the lining of the nose, and nose ulcers. The main health problems seen in animals following ingestion of chromium (VI) compounds are irritation and ulcers in the stomach and small intestine, anemia, sperm damage and male reproductive system damage. Chromium (III) compounds are much less toxic and do not appear to cause these problems. Some individuals are extremely sensitive to </w:t>
      </w:r>
      <w:proofErr w:type="gramStart"/>
      <w:r w:rsidRPr="00556AA6">
        <w:rPr>
          <w:sz w:val="28"/>
          <w:szCs w:val="28"/>
          <w:lang w:val="en-GB"/>
        </w:rPr>
        <w:t>chromium(</w:t>
      </w:r>
      <w:proofErr w:type="gramEnd"/>
      <w:r w:rsidRPr="00556AA6">
        <w:rPr>
          <w:sz w:val="28"/>
          <w:szCs w:val="28"/>
          <w:lang w:val="en-GB"/>
        </w:rPr>
        <w:t xml:space="preserve">VI) or chromium(III), allergic reactions consisting of severe redness and swelling of the skin have been noted. An increase in stomach tumors was observed in humans and animals exposed to </w:t>
      </w:r>
      <w:proofErr w:type="gramStart"/>
      <w:r w:rsidRPr="00556AA6">
        <w:rPr>
          <w:sz w:val="28"/>
          <w:szCs w:val="28"/>
          <w:lang w:val="en-GB"/>
        </w:rPr>
        <w:t>chromium(</w:t>
      </w:r>
      <w:proofErr w:type="gramEnd"/>
      <w:r w:rsidRPr="00556AA6">
        <w:rPr>
          <w:sz w:val="28"/>
          <w:szCs w:val="28"/>
          <w:lang w:val="en-GB"/>
        </w:rPr>
        <w:t>VI) in drinking water. Accidental or intentional ingestion of extremely high doses of chromium (VI) compounds by humans has resulted in severe respiratory, cardiovascular, gastrointestinal, hematological, hepatic, renal, and neurological effects as part of the sequelae leading to death or in patients who survived because of medical treatment [</w:t>
      </w:r>
      <w:hyperlink r:id="rId253" w:anchor="R141" w:history="1">
        <w:r w:rsidRPr="00556AA6">
          <w:rPr>
            <w:rStyle w:val="ac"/>
            <w:color w:val="auto"/>
            <w:sz w:val="28"/>
            <w:szCs w:val="28"/>
            <w:lang w:val="en-GB"/>
          </w:rPr>
          <w:t>141</w:t>
        </w:r>
      </w:hyperlink>
      <w:r w:rsidRPr="00556AA6">
        <w:rPr>
          <w:sz w:val="28"/>
          <w:szCs w:val="28"/>
          <w:lang w:val="en-GB"/>
        </w:rPr>
        <w:t>]. Although the evidence of carcinogenicity of chromium in humans and terrestrial mammals seems strong, the mechanism by which it causes cancer is not completely understood [</w:t>
      </w:r>
      <w:hyperlink r:id="rId254" w:anchor="R145" w:history="1">
        <w:r w:rsidRPr="00556AA6">
          <w:rPr>
            <w:rStyle w:val="ac"/>
            <w:color w:val="auto"/>
            <w:sz w:val="28"/>
            <w:szCs w:val="28"/>
            <w:lang w:val="en-GB"/>
          </w:rPr>
          <w:t>145</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Mechanisms of Toxicity and Carcinogenicity</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Major factors governing the toxicity of chromium compounds are oxidation state and solubility. </w:t>
      </w:r>
      <w:proofErr w:type="gramStart"/>
      <w:r w:rsidRPr="00556AA6">
        <w:rPr>
          <w:sz w:val="28"/>
          <w:szCs w:val="28"/>
          <w:lang w:val="en-GB"/>
        </w:rPr>
        <w:t>Cr(</w:t>
      </w:r>
      <w:proofErr w:type="gramEnd"/>
      <w:r w:rsidRPr="00556AA6">
        <w:rPr>
          <w:sz w:val="28"/>
          <w:szCs w:val="28"/>
          <w:lang w:val="en-GB"/>
        </w:rPr>
        <w:t>VI) compounds, which are powerful oxidizing agents and thus tend to be irritating and corrosive, appear to be much more toxic systemically than Cr(III) compounds, given similar amount and solubility [</w:t>
      </w:r>
      <w:hyperlink r:id="rId255" w:anchor="R146" w:history="1">
        <w:r w:rsidRPr="00556AA6">
          <w:rPr>
            <w:rStyle w:val="ac"/>
            <w:color w:val="auto"/>
            <w:sz w:val="28"/>
            <w:szCs w:val="28"/>
            <w:lang w:val="en-GB"/>
          </w:rPr>
          <w:t>146</w:t>
        </w:r>
      </w:hyperlink>
      <w:r w:rsidRPr="00556AA6">
        <w:rPr>
          <w:sz w:val="28"/>
          <w:szCs w:val="28"/>
          <w:lang w:val="en-GB"/>
        </w:rPr>
        <w:t>, </w:t>
      </w:r>
      <w:hyperlink r:id="rId256" w:anchor="R147" w:history="1">
        <w:r w:rsidRPr="00556AA6">
          <w:rPr>
            <w:rStyle w:val="ac"/>
            <w:color w:val="auto"/>
            <w:sz w:val="28"/>
            <w:szCs w:val="28"/>
            <w:lang w:val="en-GB"/>
          </w:rPr>
          <w:t>147</w:t>
        </w:r>
      </w:hyperlink>
      <w:r w:rsidRPr="00556AA6">
        <w:rPr>
          <w:sz w:val="28"/>
          <w:szCs w:val="28"/>
          <w:lang w:val="en-GB"/>
        </w:rPr>
        <w:t xml:space="preserve">]. Although the mechanisms of biological interaction are uncertain, the variation in toxicity may be related to the ease with which </w:t>
      </w:r>
      <w:proofErr w:type="gramStart"/>
      <w:r w:rsidRPr="00556AA6">
        <w:rPr>
          <w:sz w:val="28"/>
          <w:szCs w:val="28"/>
          <w:lang w:val="en-GB"/>
        </w:rPr>
        <w:t>Cr(</w:t>
      </w:r>
      <w:proofErr w:type="gramEnd"/>
      <w:r w:rsidRPr="00556AA6">
        <w:rPr>
          <w:sz w:val="28"/>
          <w:szCs w:val="28"/>
          <w:lang w:val="en-GB"/>
        </w:rPr>
        <w:t xml:space="preserve">VI) can pass through cell membranes and its subsequent intracellular reduction to reactive intermediates. Since </w:t>
      </w:r>
      <w:proofErr w:type="gramStart"/>
      <w:r w:rsidRPr="00556AA6">
        <w:rPr>
          <w:sz w:val="28"/>
          <w:szCs w:val="28"/>
          <w:lang w:val="en-GB"/>
        </w:rPr>
        <w:t>Cr(</w:t>
      </w:r>
      <w:proofErr w:type="gramEnd"/>
      <w:r w:rsidRPr="00556AA6">
        <w:rPr>
          <w:sz w:val="28"/>
          <w:szCs w:val="28"/>
          <w:lang w:val="en-GB"/>
        </w:rPr>
        <w:t xml:space="preserve">III) is poorly absorbed by any route, the toxicity of chromium is mainly attributable to </w:t>
      </w:r>
      <w:r w:rsidRPr="00556AA6">
        <w:rPr>
          <w:sz w:val="28"/>
          <w:szCs w:val="28"/>
          <w:lang w:val="en-GB"/>
        </w:rPr>
        <w:lastRenderedPageBreak/>
        <w:t xml:space="preserve">the Cr(VI) form. It can be absorbed by the lung and gastrointestinal tract, and even to a certain extent by intact skin. The reduction of </w:t>
      </w:r>
      <w:proofErr w:type="gramStart"/>
      <w:r w:rsidRPr="00556AA6">
        <w:rPr>
          <w:sz w:val="28"/>
          <w:szCs w:val="28"/>
          <w:lang w:val="en-GB"/>
        </w:rPr>
        <w:t>Cr(</w:t>
      </w:r>
      <w:proofErr w:type="gramEnd"/>
      <w:r w:rsidRPr="00556AA6">
        <w:rPr>
          <w:sz w:val="28"/>
          <w:szCs w:val="28"/>
          <w:lang w:val="en-GB"/>
        </w:rPr>
        <w:t>VI) is considered as being a detoxification process when it occurs at a distance from the target site for toxic or genotoxic effect while reduction of Cr(VI) may serve to activate chromium toxicity if it takes place in or near the cell nucleus of target organs [</w:t>
      </w:r>
      <w:hyperlink r:id="rId257" w:anchor="R148" w:history="1">
        <w:r w:rsidRPr="00556AA6">
          <w:rPr>
            <w:rStyle w:val="ac"/>
            <w:color w:val="auto"/>
            <w:sz w:val="28"/>
            <w:szCs w:val="28"/>
            <w:lang w:val="en-GB"/>
          </w:rPr>
          <w:t>148</w:t>
        </w:r>
      </w:hyperlink>
      <w:r w:rsidRPr="00556AA6">
        <w:rPr>
          <w:sz w:val="28"/>
          <w:szCs w:val="28"/>
          <w:lang w:val="en-GB"/>
        </w:rPr>
        <w:t xml:space="preserve">]. If </w:t>
      </w:r>
      <w:proofErr w:type="gramStart"/>
      <w:r w:rsidRPr="00556AA6">
        <w:rPr>
          <w:sz w:val="28"/>
          <w:szCs w:val="28"/>
          <w:lang w:val="en-GB"/>
        </w:rPr>
        <w:t>Cr(</w:t>
      </w:r>
      <w:proofErr w:type="gramEnd"/>
      <w:r w:rsidRPr="00556AA6">
        <w:rPr>
          <w:sz w:val="28"/>
          <w:szCs w:val="28"/>
          <w:lang w:val="en-GB"/>
        </w:rPr>
        <w:t xml:space="preserve">VI) is reduced to Cr(III) extracellularly, this form of the metal is not readily transported into cells and so toxicity is not observed. The balance that exists between extracellular </w:t>
      </w:r>
      <w:proofErr w:type="gramStart"/>
      <w:r w:rsidRPr="00556AA6">
        <w:rPr>
          <w:sz w:val="28"/>
          <w:szCs w:val="28"/>
          <w:lang w:val="en-GB"/>
        </w:rPr>
        <w:t>Cr(</w:t>
      </w:r>
      <w:proofErr w:type="gramEnd"/>
      <w:r w:rsidRPr="00556AA6">
        <w:rPr>
          <w:sz w:val="28"/>
          <w:szCs w:val="28"/>
          <w:lang w:val="en-GB"/>
        </w:rPr>
        <w:t>VI) and intracellular Cr(III) is what ultimately dictates the amount and rate at which Cr(VI) can enter cells and impart its toxic effects [</w:t>
      </w:r>
      <w:hyperlink r:id="rId258" w:anchor="R134" w:history="1">
        <w:r w:rsidRPr="00556AA6">
          <w:rPr>
            <w:rStyle w:val="ac"/>
            <w:color w:val="auto"/>
            <w:sz w:val="28"/>
            <w:szCs w:val="28"/>
            <w:lang w:val="en-GB"/>
          </w:rPr>
          <w:t>134</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proofErr w:type="gramStart"/>
      <w:r w:rsidRPr="00556AA6">
        <w:rPr>
          <w:sz w:val="28"/>
          <w:szCs w:val="28"/>
          <w:lang w:val="en-GB"/>
        </w:rPr>
        <w:t>Cr(</w:t>
      </w:r>
      <w:proofErr w:type="gramEnd"/>
      <w:r w:rsidRPr="00556AA6">
        <w:rPr>
          <w:sz w:val="28"/>
          <w:szCs w:val="28"/>
          <w:lang w:val="en-GB"/>
        </w:rPr>
        <w:t>VI) enters many types of cells and under physiological conditions can be reduced by hydrogen peroxide (H</w:t>
      </w:r>
      <w:r w:rsidRPr="00556AA6">
        <w:rPr>
          <w:sz w:val="28"/>
          <w:szCs w:val="28"/>
          <w:vertAlign w:val="subscript"/>
          <w:lang w:val="en-GB"/>
        </w:rPr>
        <w:t>2</w:t>
      </w:r>
      <w:r w:rsidRPr="00556AA6">
        <w:rPr>
          <w:sz w:val="28"/>
          <w:szCs w:val="28"/>
          <w:lang w:val="en-GB"/>
        </w:rPr>
        <w:t>O</w:t>
      </w:r>
      <w:r w:rsidRPr="00556AA6">
        <w:rPr>
          <w:sz w:val="28"/>
          <w:szCs w:val="28"/>
          <w:vertAlign w:val="subscript"/>
          <w:lang w:val="en-GB"/>
        </w:rPr>
        <w:t>2</w:t>
      </w:r>
      <w:r w:rsidRPr="00556AA6">
        <w:rPr>
          <w:sz w:val="28"/>
          <w:szCs w:val="28"/>
          <w:lang w:val="en-GB"/>
        </w:rPr>
        <w:t>), glutathione (GSH) reductase, ascorbic acid, and GSH to produce reactive intermediates, including Cr(V), Cr(IV), thiylradicals, hydroxyl radicals, and ultimately, Cr(III). Any of these species could attack DNA, proteins, and membrane lipids, thereby disrupting cellular integrity and functions [</w:t>
      </w:r>
      <w:hyperlink r:id="rId259" w:anchor="R149" w:history="1">
        <w:r w:rsidRPr="00556AA6">
          <w:rPr>
            <w:rStyle w:val="ac"/>
            <w:color w:val="auto"/>
            <w:sz w:val="28"/>
            <w:szCs w:val="28"/>
            <w:lang w:val="en-GB"/>
          </w:rPr>
          <w:t>149</w:t>
        </w:r>
      </w:hyperlink>
      <w:r w:rsidRPr="00556AA6">
        <w:rPr>
          <w:sz w:val="28"/>
          <w:szCs w:val="28"/>
          <w:lang w:val="en-GB"/>
        </w:rPr>
        <w:t>, </w:t>
      </w:r>
      <w:hyperlink r:id="rId260" w:anchor="R150" w:history="1">
        <w:r w:rsidRPr="00556AA6">
          <w:rPr>
            <w:rStyle w:val="ac"/>
            <w:color w:val="auto"/>
            <w:sz w:val="28"/>
            <w:szCs w:val="28"/>
            <w:lang w:val="en-GB"/>
          </w:rPr>
          <w:t>150</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Studies with animal models have also reported many harmful effects of Cr (VI) on mammals. Subcutaneous administration of Cr (VI) to rats caused severe progressive proteinuria, urea nitrogen and creatinine, as well as elevation in serum alanine aminotransferase activity and hepatic lipid peroxide formation [</w:t>
      </w:r>
      <w:hyperlink r:id="rId261" w:anchor="R151" w:history="1">
        <w:r w:rsidRPr="00556AA6">
          <w:rPr>
            <w:rStyle w:val="ac"/>
            <w:color w:val="auto"/>
            <w:sz w:val="28"/>
            <w:szCs w:val="28"/>
            <w:lang w:val="en-GB"/>
          </w:rPr>
          <w:t>151</w:t>
        </w:r>
      </w:hyperlink>
      <w:r w:rsidRPr="00556AA6">
        <w:rPr>
          <w:sz w:val="28"/>
          <w:szCs w:val="28"/>
          <w:lang w:val="en-GB"/>
        </w:rPr>
        <w:t>]. Similar studies reported by Gumbleton and Nicholls [</w:t>
      </w:r>
      <w:hyperlink r:id="rId262" w:anchor="R152" w:history="1">
        <w:r w:rsidRPr="00556AA6">
          <w:rPr>
            <w:rStyle w:val="ac"/>
            <w:color w:val="auto"/>
            <w:sz w:val="28"/>
            <w:szCs w:val="28"/>
            <w:lang w:val="en-GB"/>
          </w:rPr>
          <w:t>152</w:t>
        </w:r>
      </w:hyperlink>
      <w:r w:rsidRPr="00556AA6">
        <w:rPr>
          <w:sz w:val="28"/>
          <w:szCs w:val="28"/>
          <w:lang w:val="en-GB"/>
        </w:rPr>
        <w:t>] found that Cr (VI) induced renal damage in rats when administered by single sub-cutaneous injections. Bagchi et al. demonstrated that rats received Cr (VI) orally in water induced hepatic mitochondrial and microsomal lipid peroxidation, as well as enhanced excretion of urinary lipid metabolites including malondialdehyde [</w:t>
      </w:r>
      <w:hyperlink r:id="rId263" w:anchor="R153" w:history="1">
        <w:r w:rsidRPr="00556AA6">
          <w:rPr>
            <w:rStyle w:val="ac"/>
            <w:color w:val="auto"/>
            <w:sz w:val="28"/>
            <w:szCs w:val="28"/>
            <w:lang w:val="en-GB"/>
          </w:rPr>
          <w:t>153</w:t>
        </w:r>
      </w:hyperlink>
      <w:r w:rsidRPr="00556AA6">
        <w:rPr>
          <w:sz w:val="28"/>
          <w:szCs w:val="28"/>
          <w:lang w:val="en-GB"/>
        </w:rPr>
        <w:t>, </w:t>
      </w:r>
      <w:hyperlink r:id="rId264" w:anchor="R154" w:history="1">
        <w:r w:rsidRPr="00556AA6">
          <w:rPr>
            <w:rStyle w:val="ac"/>
            <w:color w:val="auto"/>
            <w:sz w:val="28"/>
            <w:szCs w:val="28"/>
            <w:lang w:val="en-GB"/>
          </w:rPr>
          <w:t>154</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Adverse health effects induced by Cr (VI) have also been reported in humans. Epidemiological investigations have reported respiratory cancers in workers occupationally exposed to Cr (VI)-containing compounds [</w:t>
      </w:r>
      <w:hyperlink r:id="rId265" w:anchor="R142" w:history="1">
        <w:r w:rsidRPr="00556AA6">
          <w:rPr>
            <w:rStyle w:val="ac"/>
            <w:color w:val="auto"/>
            <w:sz w:val="28"/>
            <w:szCs w:val="28"/>
            <w:lang w:val="en-GB"/>
          </w:rPr>
          <w:t>142</w:t>
        </w:r>
      </w:hyperlink>
      <w:r w:rsidRPr="00556AA6">
        <w:rPr>
          <w:sz w:val="28"/>
          <w:szCs w:val="28"/>
          <w:lang w:val="en-GB"/>
        </w:rPr>
        <w:t>, </w:t>
      </w:r>
      <w:hyperlink r:id="rId266" w:anchor="R148" w:history="1">
        <w:r w:rsidRPr="00556AA6">
          <w:rPr>
            <w:rStyle w:val="ac"/>
            <w:color w:val="auto"/>
            <w:sz w:val="28"/>
            <w:szCs w:val="28"/>
            <w:lang w:val="en-GB"/>
          </w:rPr>
          <w:t>148</w:t>
        </w:r>
      </w:hyperlink>
      <w:r w:rsidRPr="00556AA6">
        <w:rPr>
          <w:sz w:val="28"/>
          <w:szCs w:val="28"/>
          <w:lang w:val="en-GB"/>
        </w:rPr>
        <w:t>]. DNA strand breaks in peripheral lymphocytes and lipid peroxidation products in urine observed in chromium-exposed workers also support the evidence of Cr (VI)-induced toxicity to humans [</w:t>
      </w:r>
      <w:hyperlink r:id="rId267" w:anchor="R155" w:history="1">
        <w:r w:rsidRPr="00556AA6">
          <w:rPr>
            <w:rStyle w:val="ac"/>
            <w:color w:val="auto"/>
            <w:sz w:val="28"/>
            <w:szCs w:val="28"/>
            <w:lang w:val="en-GB"/>
          </w:rPr>
          <w:t>155</w:t>
        </w:r>
      </w:hyperlink>
      <w:r w:rsidRPr="00556AA6">
        <w:rPr>
          <w:sz w:val="28"/>
          <w:szCs w:val="28"/>
          <w:lang w:val="en-GB"/>
        </w:rPr>
        <w:t>, </w:t>
      </w:r>
      <w:hyperlink r:id="rId268" w:anchor="R156" w:history="1">
        <w:r w:rsidRPr="00556AA6">
          <w:rPr>
            <w:rStyle w:val="ac"/>
            <w:color w:val="auto"/>
            <w:sz w:val="28"/>
            <w:szCs w:val="28"/>
            <w:lang w:val="en-GB"/>
          </w:rPr>
          <w:t>156</w:t>
        </w:r>
      </w:hyperlink>
      <w:r w:rsidRPr="00556AA6">
        <w:rPr>
          <w:sz w:val="28"/>
          <w:szCs w:val="28"/>
          <w:lang w:val="en-GB"/>
        </w:rPr>
        <w:t>]. Oxidative damage is considered to be the underlying cause of these genotoxic effects including chromosomal abnormalities [</w:t>
      </w:r>
      <w:hyperlink r:id="rId269" w:anchor="R157" w:history="1">
        <w:r w:rsidRPr="00556AA6">
          <w:rPr>
            <w:rStyle w:val="ac"/>
            <w:color w:val="auto"/>
            <w:sz w:val="28"/>
            <w:szCs w:val="28"/>
            <w:lang w:val="en-GB"/>
          </w:rPr>
          <w:t>157</w:t>
        </w:r>
      </w:hyperlink>
      <w:r w:rsidRPr="00556AA6">
        <w:rPr>
          <w:sz w:val="28"/>
          <w:szCs w:val="28"/>
          <w:lang w:val="en-GB"/>
        </w:rPr>
        <w:t>, </w:t>
      </w:r>
      <w:hyperlink r:id="rId270" w:anchor="R158" w:history="1">
        <w:r w:rsidRPr="00556AA6">
          <w:rPr>
            <w:rStyle w:val="ac"/>
            <w:color w:val="auto"/>
            <w:sz w:val="28"/>
            <w:szCs w:val="28"/>
            <w:lang w:val="en-GB"/>
          </w:rPr>
          <w:t>158</w:t>
        </w:r>
      </w:hyperlink>
      <w:r w:rsidRPr="00556AA6">
        <w:rPr>
          <w:sz w:val="28"/>
          <w:szCs w:val="28"/>
          <w:lang w:val="en-GB"/>
        </w:rPr>
        <w:t>], and DNA strand breaks [</w:t>
      </w:r>
      <w:hyperlink r:id="rId271" w:anchor="R159" w:history="1">
        <w:r w:rsidRPr="00556AA6">
          <w:rPr>
            <w:rStyle w:val="ac"/>
            <w:color w:val="auto"/>
            <w:sz w:val="28"/>
            <w:szCs w:val="28"/>
            <w:lang w:val="en-GB"/>
          </w:rPr>
          <w:t>159</w:t>
        </w:r>
      </w:hyperlink>
      <w:r w:rsidRPr="00556AA6">
        <w:rPr>
          <w:sz w:val="28"/>
          <w:szCs w:val="28"/>
          <w:lang w:val="en-GB"/>
        </w:rPr>
        <w:t xml:space="preserve">]. Nevertheless, recent studies indicate a biological relevance of non-oxidative mechanisms in </w:t>
      </w:r>
      <w:proofErr w:type="gramStart"/>
      <w:r w:rsidRPr="00556AA6">
        <w:rPr>
          <w:sz w:val="28"/>
          <w:szCs w:val="28"/>
          <w:lang w:val="en-GB"/>
        </w:rPr>
        <w:t>Cr(</w:t>
      </w:r>
      <w:proofErr w:type="gramEnd"/>
      <w:r w:rsidRPr="00556AA6">
        <w:rPr>
          <w:sz w:val="28"/>
          <w:szCs w:val="28"/>
          <w:lang w:val="en-GB"/>
        </w:rPr>
        <w:t>VI) carcinogenesis [</w:t>
      </w:r>
      <w:hyperlink r:id="rId272" w:anchor="R160" w:history="1">
        <w:r w:rsidRPr="00556AA6">
          <w:rPr>
            <w:rStyle w:val="ac"/>
            <w:color w:val="auto"/>
            <w:sz w:val="28"/>
            <w:szCs w:val="28"/>
            <w:lang w:val="en-GB"/>
          </w:rPr>
          <w:t>160</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Carcinogenicity appears to be associated with the inhalation of the less soluble/insoluble </w:t>
      </w:r>
      <w:proofErr w:type="gramStart"/>
      <w:r w:rsidRPr="00556AA6">
        <w:rPr>
          <w:sz w:val="28"/>
          <w:szCs w:val="28"/>
          <w:lang w:val="en-GB"/>
        </w:rPr>
        <w:t>Cr(</w:t>
      </w:r>
      <w:proofErr w:type="gramEnd"/>
      <w:r w:rsidRPr="00556AA6">
        <w:rPr>
          <w:sz w:val="28"/>
          <w:szCs w:val="28"/>
          <w:lang w:val="en-GB"/>
        </w:rPr>
        <w:t xml:space="preserve">VI) compounds. The toxicology of </w:t>
      </w:r>
      <w:proofErr w:type="gramStart"/>
      <w:r w:rsidRPr="00556AA6">
        <w:rPr>
          <w:sz w:val="28"/>
          <w:szCs w:val="28"/>
          <w:lang w:val="en-GB"/>
        </w:rPr>
        <w:t>Cr(</w:t>
      </w:r>
      <w:proofErr w:type="gramEnd"/>
      <w:r w:rsidRPr="00556AA6">
        <w:rPr>
          <w:sz w:val="28"/>
          <w:szCs w:val="28"/>
          <w:lang w:val="en-GB"/>
        </w:rPr>
        <w:t xml:space="preserve">VI) does not reside with the elemental form. It varies greatly among a wide variety of very different </w:t>
      </w:r>
      <w:proofErr w:type="gramStart"/>
      <w:r w:rsidRPr="00556AA6">
        <w:rPr>
          <w:sz w:val="28"/>
          <w:szCs w:val="28"/>
          <w:lang w:val="en-GB"/>
        </w:rPr>
        <w:t>Cr(</w:t>
      </w:r>
      <w:proofErr w:type="gramEnd"/>
      <w:r w:rsidRPr="00556AA6">
        <w:rPr>
          <w:sz w:val="28"/>
          <w:szCs w:val="28"/>
          <w:lang w:val="en-GB"/>
        </w:rPr>
        <w:t>VI) compounds [</w:t>
      </w:r>
      <w:hyperlink r:id="rId273" w:anchor="R161" w:history="1">
        <w:r w:rsidRPr="00556AA6">
          <w:rPr>
            <w:rStyle w:val="ac"/>
            <w:color w:val="auto"/>
            <w:sz w:val="28"/>
            <w:szCs w:val="28"/>
            <w:lang w:val="en-GB"/>
          </w:rPr>
          <w:t>161</w:t>
        </w:r>
      </w:hyperlink>
      <w:r w:rsidRPr="00556AA6">
        <w:rPr>
          <w:sz w:val="28"/>
          <w:szCs w:val="28"/>
          <w:lang w:val="en-GB"/>
        </w:rPr>
        <w:t xml:space="preserve">]. Epidemiological evidence strongly points to </w:t>
      </w:r>
      <w:proofErr w:type="gramStart"/>
      <w:r w:rsidRPr="00556AA6">
        <w:rPr>
          <w:sz w:val="28"/>
          <w:szCs w:val="28"/>
          <w:lang w:val="en-GB"/>
        </w:rPr>
        <w:t>Cr(</w:t>
      </w:r>
      <w:proofErr w:type="gramEnd"/>
      <w:r w:rsidRPr="00556AA6">
        <w:rPr>
          <w:sz w:val="28"/>
          <w:szCs w:val="28"/>
          <w:lang w:val="en-GB"/>
        </w:rPr>
        <w:t>VI) as the agent in carcinogenesis. Solubility and other characteristics of chromium, such as size, crystal modification, surface charge, and the ability to be phagocytized might be important in determining cancer risk [</w:t>
      </w:r>
      <w:hyperlink r:id="rId274" w:anchor="R135" w:history="1">
        <w:r w:rsidRPr="00556AA6">
          <w:rPr>
            <w:rStyle w:val="ac"/>
            <w:color w:val="auto"/>
            <w:sz w:val="28"/>
            <w:szCs w:val="28"/>
            <w:lang w:val="en-GB"/>
          </w:rPr>
          <w:t>135</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Studies in our laboratory have indicated that chromium (VI) is cytotoxic and able to induce DNA damaging effects such as chromosomal abnormalities [</w:t>
      </w:r>
      <w:hyperlink r:id="rId275" w:anchor="R162" w:history="1">
        <w:r w:rsidRPr="00556AA6">
          <w:rPr>
            <w:rStyle w:val="ac"/>
            <w:color w:val="auto"/>
            <w:sz w:val="28"/>
            <w:szCs w:val="28"/>
            <w:lang w:val="en-GB"/>
          </w:rPr>
          <w:t>162</w:t>
        </w:r>
      </w:hyperlink>
      <w:r w:rsidRPr="00556AA6">
        <w:rPr>
          <w:sz w:val="28"/>
          <w:szCs w:val="28"/>
          <w:lang w:val="en-GB"/>
        </w:rPr>
        <w:t>], DNA strand breaks, DNA fragmentation and oxidative stress in Sprague-Dawley rats and human liver carcinoma cells [</w:t>
      </w:r>
      <w:hyperlink r:id="rId276" w:anchor="R27" w:history="1">
        <w:r w:rsidRPr="00556AA6">
          <w:rPr>
            <w:rStyle w:val="ac"/>
            <w:color w:val="auto"/>
            <w:sz w:val="28"/>
            <w:szCs w:val="28"/>
            <w:lang w:val="en-GB"/>
          </w:rPr>
          <w:t>27</w:t>
        </w:r>
      </w:hyperlink>
      <w:r w:rsidRPr="00556AA6">
        <w:rPr>
          <w:sz w:val="28"/>
          <w:szCs w:val="28"/>
          <w:lang w:val="en-GB"/>
        </w:rPr>
        <w:t>, </w:t>
      </w:r>
      <w:hyperlink r:id="rId277" w:anchor="R28" w:history="1">
        <w:r w:rsidRPr="00556AA6">
          <w:rPr>
            <w:rStyle w:val="ac"/>
            <w:color w:val="auto"/>
            <w:sz w:val="28"/>
            <w:szCs w:val="28"/>
            <w:lang w:val="en-GB"/>
          </w:rPr>
          <w:t>28</w:t>
        </w:r>
      </w:hyperlink>
      <w:r w:rsidRPr="00556AA6">
        <w:rPr>
          <w:sz w:val="28"/>
          <w:szCs w:val="28"/>
          <w:lang w:val="en-GB"/>
        </w:rPr>
        <w:t xml:space="preserve">]. Recently, our laboratory has also </w:t>
      </w:r>
      <w:r w:rsidRPr="00556AA6">
        <w:rPr>
          <w:sz w:val="28"/>
          <w:szCs w:val="28"/>
          <w:lang w:val="en-GB"/>
        </w:rPr>
        <w:lastRenderedPageBreak/>
        <w:t>demonstrated that chromium (VI) induces biochemical, genotoxic and histopathologic effects in liver and kidney of goldfish, </w:t>
      </w:r>
      <w:r w:rsidRPr="00556AA6">
        <w:rPr>
          <w:rStyle w:val="af4"/>
          <w:sz w:val="28"/>
          <w:szCs w:val="28"/>
          <w:lang w:val="en-GB"/>
        </w:rPr>
        <w:t>carassius auratus</w:t>
      </w:r>
      <w:r w:rsidRPr="00556AA6">
        <w:rPr>
          <w:sz w:val="28"/>
          <w:szCs w:val="28"/>
          <w:lang w:val="en-GB"/>
        </w:rPr>
        <w:t> [</w:t>
      </w:r>
      <w:hyperlink r:id="rId278" w:anchor="R163" w:history="1">
        <w:r w:rsidRPr="00556AA6">
          <w:rPr>
            <w:rStyle w:val="ac"/>
            <w:color w:val="auto"/>
            <w:sz w:val="28"/>
            <w:szCs w:val="28"/>
            <w:lang w:val="en-GB"/>
          </w:rPr>
          <w:t>163</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Various hypotheses have been proposed to explain the carcinogenicity of chromium and its </w:t>
      </w:r>
      <w:proofErr w:type="gramStart"/>
      <w:r w:rsidRPr="00556AA6">
        <w:rPr>
          <w:sz w:val="28"/>
          <w:szCs w:val="28"/>
          <w:lang w:val="en-GB"/>
        </w:rPr>
        <w:t>salts,</w:t>
      </w:r>
      <w:proofErr w:type="gramEnd"/>
      <w:r w:rsidRPr="00556AA6">
        <w:rPr>
          <w:sz w:val="28"/>
          <w:szCs w:val="28"/>
          <w:lang w:val="en-GB"/>
        </w:rPr>
        <w:t xml:space="preserve"> however some inherent difficulties exist when discussing metal carcinogenesis. A metal cannot be classified as carcinogenic per se since its different compounds may have different potencies. Because of the multiple chemical </w:t>
      </w:r>
      <w:proofErr w:type="gramStart"/>
      <w:r w:rsidRPr="00556AA6">
        <w:rPr>
          <w:sz w:val="28"/>
          <w:szCs w:val="28"/>
          <w:lang w:val="en-GB"/>
        </w:rPr>
        <w:t>exposure</w:t>
      </w:r>
      <w:proofErr w:type="gramEnd"/>
      <w:r w:rsidRPr="00556AA6">
        <w:rPr>
          <w:sz w:val="28"/>
          <w:szCs w:val="28"/>
          <w:lang w:val="en-GB"/>
        </w:rPr>
        <w:t xml:space="preserve"> in industrial establishments, it is difficult from an epidemiological standpoint to relate the carcinogenic effect to a single compound. Thus, the carcinogenic risk must often be related to a process or to a group of metal compounds rather than to a single substance. Differences in carcinogenic potential are related not only to different chemical forms of the same metal but also to the particle size of the inhaled aerosol and to physical characteristics of the particle such as surface charge and crystal modification [</w:t>
      </w:r>
      <w:hyperlink r:id="rId279" w:anchor="R164" w:history="1">
        <w:r w:rsidRPr="00556AA6">
          <w:rPr>
            <w:rStyle w:val="ac"/>
            <w:color w:val="auto"/>
            <w:sz w:val="28"/>
            <w:szCs w:val="28"/>
            <w:lang w:val="en-GB"/>
          </w:rPr>
          <w:t>164</w:t>
        </w:r>
      </w:hyperlink>
      <w:r w:rsidRPr="00556AA6">
        <w:rPr>
          <w:sz w:val="28"/>
          <w:szCs w:val="28"/>
          <w:lang w:val="en-GB"/>
        </w:rPr>
        <w:t>].</w:t>
      </w: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r w:rsidRPr="00556AA6">
        <w:rPr>
          <w:sz w:val="28"/>
          <w:szCs w:val="28"/>
          <w:lang w:val="en-GB"/>
        </w:rPr>
        <w:t>Lead</w:t>
      </w:r>
      <w:r w:rsidRPr="00556AA6">
        <w:rPr>
          <w:rFonts w:ascii="Times New Roman" w:hAnsi="Times New Roman" w:cs="Times New Roman"/>
          <w:color w:val="auto"/>
          <w:sz w:val="28"/>
          <w:szCs w:val="28"/>
          <w:lang w:val="en-GB"/>
        </w:rPr>
        <w:t xml:space="preserve"> </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Environmental Occurrence, Industrial Production and Use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Lead is a naturally occurring bluish-gray metal present in small amounts in the earth’s crust. Although lead occurs naturally in the environment, anthropogenic activities such as fossil fuels burning, mining, and manufacturing contribute to the release of high concentrations. Lead has many different industrial, agricultural and domestic applications. It is currently used in the production of lead-acid batteries, ammunitions, metal products (solder and pipes), and devices to shield X-rays. An estimated 1.52 million metric tons of lead were used for various industrial applications in the United Stated in 2004. Of that amount, lead-acid batteries production accounted for 83 percent, and the remaining usage covered a range of products such as ammunitions (3.5 percent), oxides for paint, glass, pigments and chemicals (2.6 percent), and sheet lead (1.7 percent) [</w:t>
      </w:r>
      <w:hyperlink r:id="rId280" w:anchor="R165" w:history="1">
        <w:r w:rsidRPr="00556AA6">
          <w:rPr>
            <w:rStyle w:val="ac"/>
            <w:color w:val="auto"/>
            <w:sz w:val="28"/>
            <w:szCs w:val="28"/>
            <w:lang w:val="en-GB"/>
          </w:rPr>
          <w:t>165</w:t>
        </w:r>
      </w:hyperlink>
      <w:r w:rsidRPr="00556AA6">
        <w:rPr>
          <w:sz w:val="28"/>
          <w:szCs w:val="28"/>
          <w:lang w:val="en-GB"/>
        </w:rPr>
        <w:t>, </w:t>
      </w:r>
      <w:hyperlink r:id="rId281" w:anchor="R166" w:history="1">
        <w:r w:rsidRPr="00556AA6">
          <w:rPr>
            <w:rStyle w:val="ac"/>
            <w:color w:val="auto"/>
            <w:sz w:val="28"/>
            <w:szCs w:val="28"/>
            <w:lang w:val="en-GB"/>
          </w:rPr>
          <w:t>166</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In recent years, the industrial use of lead has been significantly reduced from paints and ceramic products, caulking, and pipe solder [</w:t>
      </w:r>
      <w:hyperlink r:id="rId282" w:anchor="R167" w:history="1">
        <w:r w:rsidRPr="00556AA6">
          <w:rPr>
            <w:rStyle w:val="ac"/>
            <w:color w:val="auto"/>
            <w:sz w:val="28"/>
            <w:szCs w:val="28"/>
            <w:lang w:val="en-GB"/>
          </w:rPr>
          <w:t>167</w:t>
        </w:r>
      </w:hyperlink>
      <w:r w:rsidRPr="00556AA6">
        <w:rPr>
          <w:sz w:val="28"/>
          <w:szCs w:val="28"/>
          <w:lang w:val="en-GB"/>
        </w:rPr>
        <w:t xml:space="preserve">]. Despite this progress, it has been reported that among 16.4 million </w:t>
      </w:r>
      <w:smartTag w:uri="urn:schemas-microsoft-com:office:smarttags" w:element="place">
        <w:smartTag w:uri="urn:schemas-microsoft-com:office:smarttags" w:element="country-region">
          <w:r w:rsidRPr="00556AA6">
            <w:rPr>
              <w:sz w:val="28"/>
              <w:szCs w:val="28"/>
              <w:lang w:val="en-GB"/>
            </w:rPr>
            <w:t>United States</w:t>
          </w:r>
        </w:smartTag>
      </w:smartTag>
      <w:r w:rsidRPr="00556AA6">
        <w:rPr>
          <w:sz w:val="28"/>
          <w:szCs w:val="28"/>
          <w:lang w:val="en-GB"/>
        </w:rPr>
        <w:t xml:space="preserve"> homes with more than one child younger than 6 years per household, 25% of homes still had significant amounts of lead-contaminated deteriorated paint, dust, or adjacent bare soil [</w:t>
      </w:r>
      <w:hyperlink r:id="rId283" w:anchor="R168" w:history="1">
        <w:r w:rsidRPr="00556AA6">
          <w:rPr>
            <w:rStyle w:val="ac"/>
            <w:color w:val="auto"/>
            <w:sz w:val="28"/>
            <w:szCs w:val="28"/>
            <w:lang w:val="en-GB"/>
          </w:rPr>
          <w:t>168</w:t>
        </w:r>
      </w:hyperlink>
      <w:r w:rsidRPr="00556AA6">
        <w:rPr>
          <w:sz w:val="28"/>
          <w:szCs w:val="28"/>
          <w:lang w:val="en-GB"/>
        </w:rPr>
        <w:t>]. Lead in dust and soil often re-contaminates cleaned houses [</w:t>
      </w:r>
      <w:hyperlink r:id="rId284" w:anchor="R169" w:history="1">
        <w:r w:rsidRPr="00556AA6">
          <w:rPr>
            <w:rStyle w:val="ac"/>
            <w:color w:val="auto"/>
            <w:sz w:val="28"/>
            <w:szCs w:val="28"/>
            <w:lang w:val="en-GB"/>
          </w:rPr>
          <w:t>169</w:t>
        </w:r>
      </w:hyperlink>
      <w:r w:rsidRPr="00556AA6">
        <w:rPr>
          <w:sz w:val="28"/>
          <w:szCs w:val="28"/>
          <w:lang w:val="en-GB"/>
        </w:rPr>
        <w:t>] and contributes to elevating blood lead concentrations in children who play on bare, contaminated soil [</w:t>
      </w:r>
      <w:hyperlink r:id="rId285" w:anchor="R170" w:history="1">
        <w:r w:rsidRPr="00556AA6">
          <w:rPr>
            <w:rStyle w:val="ac"/>
            <w:color w:val="auto"/>
            <w:sz w:val="28"/>
            <w:szCs w:val="28"/>
            <w:lang w:val="en-GB"/>
          </w:rPr>
          <w:t>170</w:t>
        </w:r>
      </w:hyperlink>
      <w:r w:rsidRPr="00556AA6">
        <w:rPr>
          <w:sz w:val="28"/>
          <w:szCs w:val="28"/>
          <w:lang w:val="en-GB"/>
        </w:rPr>
        <w:t>]. Today, the largest source of lead poisoning in children comes from dust and chips from deteriorating lead paint on interior surfaces [</w:t>
      </w:r>
      <w:hyperlink r:id="rId286" w:anchor="R171" w:history="1">
        <w:r w:rsidRPr="00556AA6">
          <w:rPr>
            <w:rStyle w:val="ac"/>
            <w:color w:val="auto"/>
            <w:sz w:val="28"/>
            <w:szCs w:val="28"/>
            <w:lang w:val="en-GB"/>
          </w:rPr>
          <w:t>171</w:t>
        </w:r>
      </w:hyperlink>
      <w:r w:rsidRPr="00556AA6">
        <w:rPr>
          <w:sz w:val="28"/>
          <w:szCs w:val="28"/>
          <w:lang w:val="en-GB"/>
        </w:rPr>
        <w:t>]. Children who live in homes with deteriorating lead paint can achieve blood lead concentrations of 20µg/dL or greater [</w:t>
      </w:r>
      <w:hyperlink r:id="rId287" w:anchor="R172" w:history="1">
        <w:r w:rsidRPr="00556AA6">
          <w:rPr>
            <w:rStyle w:val="ac"/>
            <w:color w:val="auto"/>
            <w:sz w:val="28"/>
            <w:szCs w:val="28"/>
            <w:lang w:val="en-GB"/>
          </w:rPr>
          <w:t>172</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Potential for Human Exposure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Exposure to lead occurs mainly via inhalation of lead-contaminated dust particles or aerosols, and ingestion of lead-contaminated food, water, and paints [</w:t>
      </w:r>
      <w:hyperlink r:id="rId288" w:anchor="R173" w:history="1">
        <w:r w:rsidRPr="00556AA6">
          <w:rPr>
            <w:rStyle w:val="ac"/>
            <w:color w:val="auto"/>
            <w:sz w:val="28"/>
            <w:szCs w:val="28"/>
            <w:lang w:val="en-GB"/>
          </w:rPr>
          <w:t>173</w:t>
        </w:r>
      </w:hyperlink>
      <w:r w:rsidRPr="00556AA6">
        <w:rPr>
          <w:sz w:val="28"/>
          <w:szCs w:val="28"/>
          <w:lang w:val="en-GB"/>
        </w:rPr>
        <w:t>, </w:t>
      </w:r>
      <w:hyperlink r:id="rId289" w:anchor="R174" w:history="1">
        <w:r w:rsidRPr="00556AA6">
          <w:rPr>
            <w:rStyle w:val="ac"/>
            <w:color w:val="auto"/>
            <w:sz w:val="28"/>
            <w:szCs w:val="28"/>
            <w:lang w:val="en-GB"/>
          </w:rPr>
          <w:t>174</w:t>
        </w:r>
      </w:hyperlink>
      <w:r w:rsidRPr="00556AA6">
        <w:rPr>
          <w:sz w:val="28"/>
          <w:szCs w:val="28"/>
          <w:lang w:val="en-GB"/>
        </w:rPr>
        <w:t xml:space="preserve">]. Adults absorb 35 to 50% of lead through drinking water and the absorption rate for children may be greater than 50%. Lead absorption is influenced by factors such as age and physiological status. In the human body, the greatest percentage of lead is taken into the kidney, followed by the liver and the </w:t>
      </w:r>
      <w:r w:rsidRPr="00556AA6">
        <w:rPr>
          <w:sz w:val="28"/>
          <w:szCs w:val="28"/>
          <w:lang w:val="en-GB"/>
        </w:rPr>
        <w:lastRenderedPageBreak/>
        <w:t>other soft tissues such as heart and brain, however, the lead in the skeleton represents the major body fraction [</w:t>
      </w:r>
      <w:hyperlink r:id="rId290" w:anchor="R175" w:history="1">
        <w:r w:rsidRPr="00556AA6">
          <w:rPr>
            <w:rStyle w:val="ac"/>
            <w:color w:val="auto"/>
            <w:sz w:val="28"/>
            <w:szCs w:val="28"/>
            <w:lang w:val="en-GB"/>
          </w:rPr>
          <w:t>175</w:t>
        </w:r>
      </w:hyperlink>
      <w:r w:rsidRPr="00556AA6">
        <w:rPr>
          <w:sz w:val="28"/>
          <w:szCs w:val="28"/>
          <w:lang w:val="en-GB"/>
        </w:rPr>
        <w:t>]. The nervous system is the most vulnerable target of lead poisoning. Headache, poor attention spam, irritability, loss of memory and dullness are the early symptoms of the effects of lead exposure on the central nervous system [</w:t>
      </w:r>
      <w:hyperlink r:id="rId291" w:anchor="R170" w:history="1">
        <w:r w:rsidRPr="00556AA6">
          <w:rPr>
            <w:rStyle w:val="ac"/>
            <w:color w:val="auto"/>
            <w:sz w:val="28"/>
            <w:szCs w:val="28"/>
            <w:lang w:val="en-GB"/>
          </w:rPr>
          <w:t>170</w:t>
        </w:r>
      </w:hyperlink>
      <w:r w:rsidRPr="00556AA6">
        <w:rPr>
          <w:sz w:val="28"/>
          <w:szCs w:val="28"/>
          <w:lang w:val="en-GB"/>
        </w:rPr>
        <w:t>, </w:t>
      </w:r>
      <w:hyperlink r:id="rId292" w:anchor="R173" w:history="1">
        <w:r w:rsidRPr="00556AA6">
          <w:rPr>
            <w:rStyle w:val="ac"/>
            <w:color w:val="auto"/>
            <w:sz w:val="28"/>
            <w:szCs w:val="28"/>
            <w:lang w:val="en-GB"/>
          </w:rPr>
          <w:t>173</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Since the late 1970’s, lead exposure has decreased significantly as a result of multiple efforts including the elimination of lead in gasoline, and the reduction of lead levels in residential paints, food and drink cans, and plumbing systems [</w:t>
      </w:r>
      <w:hyperlink r:id="rId293" w:anchor="R173" w:history="1">
        <w:r w:rsidRPr="00556AA6">
          <w:rPr>
            <w:rStyle w:val="ac"/>
            <w:color w:val="auto"/>
            <w:sz w:val="28"/>
            <w:szCs w:val="28"/>
            <w:lang w:val="en-GB"/>
          </w:rPr>
          <w:t>173</w:t>
        </w:r>
      </w:hyperlink>
      <w:r w:rsidRPr="00556AA6">
        <w:rPr>
          <w:sz w:val="28"/>
          <w:szCs w:val="28"/>
          <w:lang w:val="en-GB"/>
        </w:rPr>
        <w:t>, </w:t>
      </w:r>
      <w:hyperlink r:id="rId294" w:anchor="R174" w:history="1">
        <w:r w:rsidRPr="00556AA6">
          <w:rPr>
            <w:rStyle w:val="ac"/>
            <w:color w:val="auto"/>
            <w:sz w:val="28"/>
            <w:szCs w:val="28"/>
            <w:lang w:val="en-GB"/>
          </w:rPr>
          <w:t>174</w:t>
        </w:r>
      </w:hyperlink>
      <w:r w:rsidRPr="00556AA6">
        <w:rPr>
          <w:sz w:val="28"/>
          <w:szCs w:val="28"/>
          <w:lang w:val="en-GB"/>
        </w:rPr>
        <w:t>]. Several federal programs implemented by state and local health governments have not only focused on banning lead in gasoline, paint and soldered cans, but have also supported screening programs for lead poisoning in children and lead abatement in housing [</w:t>
      </w:r>
      <w:hyperlink r:id="rId295" w:anchor="R167" w:history="1">
        <w:r w:rsidRPr="00556AA6">
          <w:rPr>
            <w:rStyle w:val="ac"/>
            <w:color w:val="auto"/>
            <w:sz w:val="28"/>
            <w:szCs w:val="28"/>
            <w:lang w:val="en-GB"/>
          </w:rPr>
          <w:t>167</w:t>
        </w:r>
      </w:hyperlink>
      <w:r w:rsidRPr="00556AA6">
        <w:rPr>
          <w:sz w:val="28"/>
          <w:szCs w:val="28"/>
          <w:lang w:val="en-GB"/>
        </w:rPr>
        <w:t>]. Despite the progress in these programs, human exposure to lead remains a serious health problem [</w:t>
      </w:r>
      <w:hyperlink r:id="rId296" w:anchor="R176" w:history="1">
        <w:r w:rsidRPr="00556AA6">
          <w:rPr>
            <w:rStyle w:val="ac"/>
            <w:color w:val="auto"/>
            <w:sz w:val="28"/>
            <w:szCs w:val="28"/>
            <w:lang w:val="en-GB"/>
          </w:rPr>
          <w:t>176</w:t>
        </w:r>
      </w:hyperlink>
      <w:r w:rsidRPr="00556AA6">
        <w:rPr>
          <w:sz w:val="28"/>
          <w:szCs w:val="28"/>
          <w:lang w:val="en-GB"/>
        </w:rPr>
        <w:t>, </w:t>
      </w:r>
      <w:hyperlink r:id="rId297" w:anchor="R177" w:history="1">
        <w:r w:rsidRPr="00556AA6">
          <w:rPr>
            <w:rStyle w:val="ac"/>
            <w:color w:val="auto"/>
            <w:sz w:val="28"/>
            <w:szCs w:val="28"/>
            <w:lang w:val="en-GB"/>
          </w:rPr>
          <w:t>177</w:t>
        </w:r>
      </w:hyperlink>
      <w:r w:rsidRPr="00556AA6">
        <w:rPr>
          <w:sz w:val="28"/>
          <w:szCs w:val="28"/>
          <w:lang w:val="en-GB"/>
        </w:rPr>
        <w:t>]. Lead is the most systemic toxicant that affects several organs in the body including the kidneys, liver, central nervous system, hematopoetic system, endocrine system, and reproductive system [</w:t>
      </w:r>
      <w:hyperlink r:id="rId298" w:anchor="R173" w:history="1">
        <w:r w:rsidRPr="00556AA6">
          <w:rPr>
            <w:rStyle w:val="ac"/>
            <w:color w:val="auto"/>
            <w:sz w:val="28"/>
            <w:szCs w:val="28"/>
            <w:lang w:val="en-GB"/>
          </w:rPr>
          <w:t>173</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Lead exposure usually results from lead in deteriorating household paints, lead in the work place, lead in crystals and ceramic containers that leaches into water and food, lead use in hobbies, and lead use in some traditional medicines and cosmetics [</w:t>
      </w:r>
      <w:hyperlink r:id="rId299" w:anchor="R167" w:history="1">
        <w:r w:rsidRPr="00556AA6">
          <w:rPr>
            <w:rStyle w:val="ac"/>
            <w:color w:val="auto"/>
            <w:sz w:val="28"/>
            <w:szCs w:val="28"/>
            <w:lang w:val="en-GB"/>
          </w:rPr>
          <w:t>167</w:t>
        </w:r>
      </w:hyperlink>
      <w:r w:rsidRPr="00556AA6">
        <w:rPr>
          <w:sz w:val="28"/>
          <w:szCs w:val="28"/>
          <w:lang w:val="en-GB"/>
        </w:rPr>
        <w:t>, </w:t>
      </w:r>
      <w:hyperlink r:id="rId300" w:anchor="R174" w:history="1">
        <w:r w:rsidRPr="00556AA6">
          <w:rPr>
            <w:rStyle w:val="ac"/>
            <w:color w:val="auto"/>
            <w:sz w:val="28"/>
            <w:szCs w:val="28"/>
            <w:lang w:val="en-GB"/>
          </w:rPr>
          <w:t>174</w:t>
        </w:r>
      </w:hyperlink>
      <w:r w:rsidRPr="00556AA6">
        <w:rPr>
          <w:sz w:val="28"/>
          <w:szCs w:val="28"/>
          <w:lang w:val="en-GB"/>
        </w:rPr>
        <w:t xml:space="preserve">]. Several studies conducted by the National Health and Nutrition Examination surveys (NHANES) have measured blood lead levels in the </w:t>
      </w:r>
      <w:smartTag w:uri="urn:schemas-microsoft-com:office:smarttags" w:element="place">
        <w:smartTag w:uri="urn:schemas-microsoft-com:office:smarttags" w:element="country-region">
          <w:r w:rsidRPr="00556AA6">
            <w:rPr>
              <w:sz w:val="28"/>
              <w:szCs w:val="28"/>
              <w:lang w:val="en-GB"/>
            </w:rPr>
            <w:t>U.S.</w:t>
          </w:r>
        </w:smartTag>
      </w:smartTag>
      <w:r w:rsidRPr="00556AA6">
        <w:rPr>
          <w:sz w:val="28"/>
          <w:szCs w:val="28"/>
          <w:lang w:val="en-GB"/>
        </w:rPr>
        <w:t xml:space="preserve"> populations and have assessed the magnitude of lead exposure by age, gender, race, income and degree of urbanization [</w:t>
      </w:r>
      <w:hyperlink r:id="rId301" w:anchor="R176" w:history="1">
        <w:r w:rsidRPr="00556AA6">
          <w:rPr>
            <w:rStyle w:val="ac"/>
            <w:color w:val="auto"/>
            <w:sz w:val="28"/>
            <w:szCs w:val="28"/>
            <w:lang w:val="en-GB"/>
          </w:rPr>
          <w:t>176</w:t>
        </w:r>
      </w:hyperlink>
      <w:r w:rsidRPr="00556AA6">
        <w:rPr>
          <w:sz w:val="28"/>
          <w:szCs w:val="28"/>
          <w:lang w:val="en-GB"/>
        </w:rPr>
        <w:t>]. Although the results of these surveys have demonstrated a general decline in blood lead levels since the 1970s, they have also shown that large populations of children continue to have elevated blood lead levels (&gt; 10µg/dL). Hence, lead poisoning remains one of the most common pediatric health problems in the United States today [</w:t>
      </w:r>
      <w:hyperlink r:id="rId302" w:anchor="R167" w:history="1">
        <w:r w:rsidRPr="00556AA6">
          <w:rPr>
            <w:rStyle w:val="ac"/>
            <w:color w:val="auto"/>
            <w:sz w:val="28"/>
            <w:szCs w:val="28"/>
            <w:lang w:val="en-GB"/>
          </w:rPr>
          <w:t>167</w:t>
        </w:r>
      </w:hyperlink>
      <w:r w:rsidRPr="00556AA6">
        <w:rPr>
          <w:sz w:val="28"/>
          <w:szCs w:val="28"/>
          <w:lang w:val="en-GB"/>
        </w:rPr>
        <w:t>, </w:t>
      </w:r>
      <w:hyperlink r:id="rId303" w:anchor="R173" w:history="1">
        <w:r w:rsidRPr="00556AA6">
          <w:rPr>
            <w:rStyle w:val="ac"/>
            <w:color w:val="auto"/>
            <w:sz w:val="28"/>
            <w:szCs w:val="28"/>
            <w:lang w:val="en-GB"/>
          </w:rPr>
          <w:t>173</w:t>
        </w:r>
      </w:hyperlink>
      <w:r w:rsidRPr="00556AA6">
        <w:rPr>
          <w:sz w:val="28"/>
          <w:szCs w:val="28"/>
          <w:lang w:val="en-GB"/>
        </w:rPr>
        <w:t>, </w:t>
      </w:r>
      <w:hyperlink r:id="rId304" w:anchor="R174" w:history="1">
        <w:r w:rsidRPr="00556AA6">
          <w:rPr>
            <w:rStyle w:val="ac"/>
            <w:color w:val="auto"/>
            <w:sz w:val="28"/>
            <w:szCs w:val="28"/>
            <w:lang w:val="en-GB"/>
          </w:rPr>
          <w:t>174</w:t>
        </w:r>
      </w:hyperlink>
      <w:r w:rsidRPr="00556AA6">
        <w:rPr>
          <w:sz w:val="28"/>
          <w:szCs w:val="28"/>
          <w:lang w:val="en-GB"/>
        </w:rPr>
        <w:t>, </w:t>
      </w:r>
      <w:hyperlink r:id="rId305" w:anchor="R176" w:history="1">
        <w:r w:rsidRPr="00556AA6">
          <w:rPr>
            <w:rStyle w:val="ac"/>
            <w:color w:val="auto"/>
            <w:sz w:val="28"/>
            <w:szCs w:val="28"/>
            <w:lang w:val="en-GB"/>
          </w:rPr>
          <w:t>176</w:t>
        </w:r>
      </w:hyperlink>
      <w:r w:rsidRPr="00556AA6">
        <w:rPr>
          <w:sz w:val="28"/>
          <w:szCs w:val="28"/>
          <w:lang w:val="en-GB"/>
        </w:rPr>
        <w:t>–</w:t>
      </w:r>
      <w:hyperlink r:id="rId306" w:anchor="R179" w:history="1">
        <w:r w:rsidRPr="00556AA6">
          <w:rPr>
            <w:rStyle w:val="ac"/>
            <w:color w:val="auto"/>
            <w:sz w:val="28"/>
            <w:szCs w:val="28"/>
            <w:lang w:val="en-GB"/>
          </w:rPr>
          <w:t>179</w:t>
        </w:r>
      </w:hyperlink>
      <w:r w:rsidRPr="00556AA6">
        <w:rPr>
          <w:sz w:val="28"/>
          <w:szCs w:val="28"/>
          <w:lang w:val="en-GB"/>
        </w:rPr>
        <w:t>]. Exposure to lead is of special concern among women particularly during pregnancy. Lead absorbed by the pregnant mother is readily transferred to the developing fetus [</w:t>
      </w:r>
      <w:hyperlink r:id="rId307" w:anchor="R180" w:history="1">
        <w:r w:rsidRPr="00556AA6">
          <w:rPr>
            <w:rStyle w:val="ac"/>
            <w:color w:val="auto"/>
            <w:sz w:val="28"/>
            <w:szCs w:val="28"/>
            <w:lang w:val="en-GB"/>
          </w:rPr>
          <w:t>180</w:t>
        </w:r>
      </w:hyperlink>
      <w:r w:rsidRPr="00556AA6">
        <w:rPr>
          <w:sz w:val="28"/>
          <w:szCs w:val="28"/>
          <w:lang w:val="en-GB"/>
        </w:rPr>
        <w:t>]. Human evidence corroborates animal findings [</w:t>
      </w:r>
      <w:hyperlink r:id="rId308" w:anchor="R181" w:history="1">
        <w:r w:rsidRPr="00556AA6">
          <w:rPr>
            <w:rStyle w:val="ac"/>
            <w:color w:val="auto"/>
            <w:sz w:val="28"/>
            <w:szCs w:val="28"/>
            <w:lang w:val="en-GB"/>
          </w:rPr>
          <w:t>181</w:t>
        </w:r>
      </w:hyperlink>
      <w:r w:rsidRPr="00556AA6">
        <w:rPr>
          <w:sz w:val="28"/>
          <w:szCs w:val="28"/>
          <w:lang w:val="en-GB"/>
        </w:rPr>
        <w:t>], linking prenatal exposure to lead with reduced birth weight and preterm delivery [</w:t>
      </w:r>
      <w:hyperlink r:id="rId309" w:anchor="R182" w:history="1">
        <w:r w:rsidRPr="00556AA6">
          <w:rPr>
            <w:rStyle w:val="ac"/>
            <w:color w:val="auto"/>
            <w:sz w:val="28"/>
            <w:szCs w:val="28"/>
            <w:lang w:val="en-GB"/>
          </w:rPr>
          <w:t>182</w:t>
        </w:r>
      </w:hyperlink>
      <w:r w:rsidRPr="00556AA6">
        <w:rPr>
          <w:sz w:val="28"/>
          <w:szCs w:val="28"/>
          <w:lang w:val="en-GB"/>
        </w:rPr>
        <w:t>], and with neuro-developmental abnormalities in offspring [</w:t>
      </w:r>
      <w:hyperlink r:id="rId310" w:anchor="R183" w:history="1">
        <w:r w:rsidRPr="00556AA6">
          <w:rPr>
            <w:rStyle w:val="ac"/>
            <w:color w:val="auto"/>
            <w:sz w:val="28"/>
            <w:szCs w:val="28"/>
            <w:lang w:val="en-GB"/>
          </w:rPr>
          <w:t>183</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Molecular Mechanisms of Toxicity and Carcinogenicity</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There are many published studies that have documented the adverse effects of lead in children and the adult population. In children, these studies have shown an association between blood level poisoning and diminished intelligence, lower intelligence quotient-IQ, delayed or impaired neurobehavioral development, decreased hearing acuity, speech and language handicaps, growth retardation, poor attention span, and anti social and diligent behaviors [</w:t>
      </w:r>
      <w:hyperlink r:id="rId311" w:anchor="R178" w:history="1">
        <w:r w:rsidRPr="00556AA6">
          <w:rPr>
            <w:rStyle w:val="ac"/>
            <w:color w:val="auto"/>
            <w:sz w:val="28"/>
            <w:szCs w:val="28"/>
            <w:lang w:val="en-GB"/>
          </w:rPr>
          <w:t>178</w:t>
        </w:r>
      </w:hyperlink>
      <w:r w:rsidRPr="00556AA6">
        <w:rPr>
          <w:sz w:val="28"/>
          <w:szCs w:val="28"/>
          <w:lang w:val="en-GB"/>
        </w:rPr>
        <w:t>, </w:t>
      </w:r>
      <w:hyperlink r:id="rId312" w:anchor="R179" w:history="1">
        <w:r w:rsidRPr="00556AA6">
          <w:rPr>
            <w:rStyle w:val="ac"/>
            <w:color w:val="auto"/>
            <w:sz w:val="28"/>
            <w:szCs w:val="28"/>
            <w:lang w:val="en-GB"/>
          </w:rPr>
          <w:t>179</w:t>
        </w:r>
      </w:hyperlink>
      <w:r w:rsidRPr="00556AA6">
        <w:rPr>
          <w:sz w:val="28"/>
          <w:szCs w:val="28"/>
          <w:lang w:val="en-GB"/>
        </w:rPr>
        <w:t>, </w:t>
      </w:r>
      <w:hyperlink r:id="rId313" w:anchor="R184" w:history="1">
        <w:r w:rsidRPr="00556AA6">
          <w:rPr>
            <w:rStyle w:val="ac"/>
            <w:color w:val="auto"/>
            <w:sz w:val="28"/>
            <w:szCs w:val="28"/>
            <w:lang w:val="en-GB"/>
          </w:rPr>
          <w:t>184</w:t>
        </w:r>
      </w:hyperlink>
      <w:r w:rsidRPr="00556AA6">
        <w:rPr>
          <w:sz w:val="28"/>
          <w:szCs w:val="28"/>
          <w:lang w:val="en-GB"/>
        </w:rPr>
        <w:t>, </w:t>
      </w:r>
      <w:hyperlink r:id="rId314" w:anchor="R185" w:history="1">
        <w:r w:rsidRPr="00556AA6">
          <w:rPr>
            <w:rStyle w:val="ac"/>
            <w:color w:val="auto"/>
            <w:sz w:val="28"/>
            <w:szCs w:val="28"/>
            <w:lang w:val="en-GB"/>
          </w:rPr>
          <w:t>185</w:t>
        </w:r>
      </w:hyperlink>
      <w:r w:rsidRPr="00556AA6">
        <w:rPr>
          <w:sz w:val="28"/>
          <w:szCs w:val="28"/>
          <w:lang w:val="en-GB"/>
        </w:rPr>
        <w:t>]. In the adult population, reproductive effects, such as decreased sperm count in men and spontaneous abortions in women have been associated with high lead exposure [</w:t>
      </w:r>
      <w:hyperlink r:id="rId315" w:anchor="R186" w:history="1">
        <w:r w:rsidRPr="00556AA6">
          <w:rPr>
            <w:rStyle w:val="ac"/>
            <w:color w:val="auto"/>
            <w:sz w:val="28"/>
            <w:szCs w:val="28"/>
            <w:lang w:val="en-GB"/>
          </w:rPr>
          <w:t>186</w:t>
        </w:r>
      </w:hyperlink>
      <w:r w:rsidRPr="00556AA6">
        <w:rPr>
          <w:sz w:val="28"/>
          <w:szCs w:val="28"/>
          <w:lang w:val="en-GB"/>
        </w:rPr>
        <w:t>, </w:t>
      </w:r>
      <w:hyperlink r:id="rId316" w:anchor="R187" w:history="1">
        <w:r w:rsidRPr="00556AA6">
          <w:rPr>
            <w:rStyle w:val="ac"/>
            <w:color w:val="auto"/>
            <w:sz w:val="28"/>
            <w:szCs w:val="28"/>
            <w:lang w:val="en-GB"/>
          </w:rPr>
          <w:t>187</w:t>
        </w:r>
      </w:hyperlink>
      <w:r w:rsidRPr="00556AA6">
        <w:rPr>
          <w:sz w:val="28"/>
          <w:szCs w:val="28"/>
          <w:lang w:val="en-GB"/>
        </w:rPr>
        <w:t>]. Acute exposure to lead induces brain damage, kidney damage, and gastrointestinal diseases, while chronic exposure may cause adverse effects on the blood, central nervous system, blood pressure, kidneys, and vitamin D metabolism [</w:t>
      </w:r>
      <w:hyperlink r:id="rId317" w:anchor="R173" w:history="1">
        <w:r w:rsidRPr="00556AA6">
          <w:rPr>
            <w:rStyle w:val="ac"/>
            <w:color w:val="auto"/>
            <w:sz w:val="28"/>
            <w:szCs w:val="28"/>
            <w:lang w:val="en-GB"/>
          </w:rPr>
          <w:t>173</w:t>
        </w:r>
      </w:hyperlink>
      <w:r w:rsidRPr="00556AA6">
        <w:rPr>
          <w:sz w:val="28"/>
          <w:szCs w:val="28"/>
          <w:lang w:val="en-GB"/>
        </w:rPr>
        <w:t>, </w:t>
      </w:r>
      <w:hyperlink r:id="rId318" w:anchor="R174" w:history="1">
        <w:r w:rsidRPr="00556AA6">
          <w:rPr>
            <w:rStyle w:val="ac"/>
            <w:color w:val="auto"/>
            <w:sz w:val="28"/>
            <w:szCs w:val="28"/>
            <w:lang w:val="en-GB"/>
          </w:rPr>
          <w:t>174</w:t>
        </w:r>
      </w:hyperlink>
      <w:r w:rsidRPr="00556AA6">
        <w:rPr>
          <w:sz w:val="28"/>
          <w:szCs w:val="28"/>
          <w:lang w:val="en-GB"/>
        </w:rPr>
        <w:t>, </w:t>
      </w:r>
      <w:hyperlink r:id="rId319" w:anchor="R178" w:history="1">
        <w:r w:rsidRPr="00556AA6">
          <w:rPr>
            <w:rStyle w:val="ac"/>
            <w:color w:val="auto"/>
            <w:sz w:val="28"/>
            <w:szCs w:val="28"/>
            <w:lang w:val="en-GB"/>
          </w:rPr>
          <w:t>178</w:t>
        </w:r>
      </w:hyperlink>
      <w:r w:rsidRPr="00556AA6">
        <w:rPr>
          <w:sz w:val="28"/>
          <w:szCs w:val="28"/>
          <w:lang w:val="en-GB"/>
        </w:rPr>
        <w:t>, </w:t>
      </w:r>
      <w:hyperlink r:id="rId320" w:anchor="R179" w:history="1">
        <w:r w:rsidRPr="00556AA6">
          <w:rPr>
            <w:rStyle w:val="ac"/>
            <w:color w:val="auto"/>
            <w:sz w:val="28"/>
            <w:szCs w:val="28"/>
            <w:lang w:val="en-GB"/>
          </w:rPr>
          <w:t>179</w:t>
        </w:r>
      </w:hyperlink>
      <w:r w:rsidRPr="00556AA6">
        <w:rPr>
          <w:sz w:val="28"/>
          <w:szCs w:val="28"/>
          <w:lang w:val="en-GB"/>
        </w:rPr>
        <w:t>, </w:t>
      </w:r>
      <w:hyperlink r:id="rId321" w:anchor="R184" w:history="1">
        <w:r w:rsidRPr="00556AA6">
          <w:rPr>
            <w:rStyle w:val="ac"/>
            <w:color w:val="auto"/>
            <w:sz w:val="28"/>
            <w:szCs w:val="28"/>
            <w:lang w:val="en-GB"/>
          </w:rPr>
          <w:t>184</w:t>
        </w:r>
      </w:hyperlink>
      <w:r w:rsidRPr="00556AA6">
        <w:rPr>
          <w:sz w:val="28"/>
          <w:szCs w:val="28"/>
          <w:lang w:val="en-GB"/>
        </w:rPr>
        <w:t>–</w:t>
      </w:r>
      <w:hyperlink r:id="rId322" w:anchor="R187" w:history="1">
        <w:r w:rsidRPr="00556AA6">
          <w:rPr>
            <w:rStyle w:val="ac"/>
            <w:color w:val="auto"/>
            <w:sz w:val="28"/>
            <w:szCs w:val="28"/>
            <w:lang w:val="en-GB"/>
          </w:rPr>
          <w:t>187</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lastRenderedPageBreak/>
        <w:t>One of the major mechanisms by which lead exerts its toxic effect is through biochemical processes that include lead's ability to inhibit or mimic the actions of calcium and to interact with proteins [</w:t>
      </w:r>
      <w:hyperlink r:id="rId323" w:anchor="R173" w:history="1">
        <w:r w:rsidRPr="00556AA6">
          <w:rPr>
            <w:rStyle w:val="ac"/>
            <w:color w:val="auto"/>
            <w:sz w:val="28"/>
            <w:szCs w:val="28"/>
            <w:lang w:val="en-GB"/>
          </w:rPr>
          <w:t>173</w:t>
        </w:r>
      </w:hyperlink>
      <w:r w:rsidRPr="00556AA6">
        <w:rPr>
          <w:sz w:val="28"/>
          <w:szCs w:val="28"/>
          <w:lang w:val="en-GB"/>
        </w:rPr>
        <w:t>]. Within the skeleton, lead is incorporated into the mineral in place of calcium. Lead binds to biological molecules and thereby interfering with their function by a number of mechanisms. Lead binds to sulfhydryl and amide groups of enzymes, altering their configuration and diminishing their activities. Lead may also compete with essential metallic cations for binding sites, inhibiting enzyme activity, or altering the transport of essential cations such as calcium [</w:t>
      </w:r>
      <w:hyperlink r:id="rId324" w:anchor="R188" w:history="1">
        <w:r w:rsidRPr="00556AA6">
          <w:rPr>
            <w:rStyle w:val="ac"/>
            <w:color w:val="auto"/>
            <w:sz w:val="28"/>
            <w:szCs w:val="28"/>
            <w:lang w:val="en-GB"/>
          </w:rPr>
          <w:t>188</w:t>
        </w:r>
      </w:hyperlink>
      <w:r w:rsidRPr="00556AA6">
        <w:rPr>
          <w:sz w:val="28"/>
          <w:szCs w:val="28"/>
          <w:lang w:val="en-GB"/>
        </w:rPr>
        <w:t>]. Many investigators have demonstrated that lead intoxication induces a cellular damage mediated by the formation of reactive oxygen species (ROS) [</w:t>
      </w:r>
      <w:hyperlink r:id="rId325" w:anchor="R189" w:history="1">
        <w:r w:rsidRPr="00556AA6">
          <w:rPr>
            <w:rStyle w:val="ac"/>
            <w:color w:val="auto"/>
            <w:sz w:val="28"/>
            <w:szCs w:val="28"/>
            <w:lang w:val="en-GB"/>
          </w:rPr>
          <w:t>189</w:t>
        </w:r>
      </w:hyperlink>
      <w:r w:rsidRPr="00556AA6">
        <w:rPr>
          <w:sz w:val="28"/>
          <w:szCs w:val="28"/>
          <w:lang w:val="en-GB"/>
        </w:rPr>
        <w:t>]. In addition, Jiun and Hseien [</w:t>
      </w:r>
      <w:hyperlink r:id="rId326" w:anchor="R190" w:history="1">
        <w:r w:rsidRPr="00556AA6">
          <w:rPr>
            <w:rStyle w:val="ac"/>
            <w:color w:val="auto"/>
            <w:sz w:val="28"/>
            <w:szCs w:val="28"/>
            <w:lang w:val="en-GB"/>
          </w:rPr>
          <w:t>190</w:t>
        </w:r>
      </w:hyperlink>
      <w:r w:rsidRPr="00556AA6">
        <w:rPr>
          <w:sz w:val="28"/>
          <w:szCs w:val="28"/>
          <w:lang w:val="en-GB"/>
        </w:rPr>
        <w:t>] demonstrated that the levels of malondialdehyde (MDA) in blood strongly correlate with lead concentration in the blood of exposed workers. Other studies showed that the activities of antioxidant enzymes, including superoxide dismutase (SOD), and glutathione peroxidase in erythrocytes of workers exposed to lead are remarkably higher than that in non-exposed workers [</w:t>
      </w:r>
      <w:hyperlink r:id="rId327" w:anchor="R191" w:history="1">
        <w:r w:rsidRPr="00556AA6">
          <w:rPr>
            <w:rStyle w:val="ac"/>
            <w:color w:val="auto"/>
            <w:sz w:val="28"/>
            <w:szCs w:val="28"/>
            <w:lang w:val="en-GB"/>
          </w:rPr>
          <w:t>191</w:t>
        </w:r>
      </w:hyperlink>
      <w:r w:rsidRPr="00556AA6">
        <w:rPr>
          <w:sz w:val="28"/>
          <w:szCs w:val="28"/>
          <w:lang w:val="en-GB"/>
        </w:rPr>
        <w:t>]. A series of recent studies in our laboratory demonstrated that lead-induced toxicity and apoptosis in human cancer cells involved several cellular and molecular processes including induction of cell death and oxidative stress [</w:t>
      </w:r>
      <w:hyperlink r:id="rId328" w:anchor="R29" w:history="1">
        <w:r w:rsidRPr="00556AA6">
          <w:rPr>
            <w:rStyle w:val="ac"/>
            <w:color w:val="auto"/>
            <w:sz w:val="28"/>
            <w:szCs w:val="28"/>
            <w:lang w:val="en-GB"/>
          </w:rPr>
          <w:t>29</w:t>
        </w:r>
      </w:hyperlink>
      <w:r w:rsidRPr="00556AA6">
        <w:rPr>
          <w:sz w:val="28"/>
          <w:szCs w:val="28"/>
          <w:lang w:val="en-GB"/>
        </w:rPr>
        <w:t>, </w:t>
      </w:r>
      <w:hyperlink r:id="rId329" w:anchor="R192" w:history="1">
        <w:r w:rsidRPr="00556AA6">
          <w:rPr>
            <w:rStyle w:val="ac"/>
            <w:color w:val="auto"/>
            <w:sz w:val="28"/>
            <w:szCs w:val="28"/>
            <w:lang w:val="en-GB"/>
          </w:rPr>
          <w:t>192</w:t>
        </w:r>
      </w:hyperlink>
      <w:r w:rsidRPr="00556AA6">
        <w:rPr>
          <w:sz w:val="28"/>
          <w:szCs w:val="28"/>
          <w:lang w:val="en-GB"/>
        </w:rPr>
        <w:t>], transcriptional activation of stress genes [</w:t>
      </w:r>
      <w:hyperlink r:id="rId330" w:anchor="R30" w:history="1">
        <w:r w:rsidRPr="00556AA6">
          <w:rPr>
            <w:rStyle w:val="ac"/>
            <w:color w:val="auto"/>
            <w:sz w:val="28"/>
            <w:szCs w:val="28"/>
            <w:lang w:val="en-GB"/>
          </w:rPr>
          <w:t>30</w:t>
        </w:r>
      </w:hyperlink>
      <w:r w:rsidRPr="00556AA6">
        <w:rPr>
          <w:sz w:val="28"/>
          <w:szCs w:val="28"/>
          <w:lang w:val="en-GB"/>
        </w:rPr>
        <w:t>], DNA damage [</w:t>
      </w:r>
      <w:hyperlink r:id="rId331" w:anchor="R29" w:history="1">
        <w:r w:rsidRPr="00556AA6">
          <w:rPr>
            <w:rStyle w:val="ac"/>
            <w:color w:val="auto"/>
            <w:sz w:val="28"/>
            <w:szCs w:val="28"/>
            <w:lang w:val="en-GB"/>
          </w:rPr>
          <w:t>29</w:t>
        </w:r>
      </w:hyperlink>
      <w:r w:rsidRPr="00556AA6">
        <w:rPr>
          <w:sz w:val="28"/>
          <w:szCs w:val="28"/>
          <w:lang w:val="en-GB"/>
        </w:rPr>
        <w:t>], externalization of phosphatidylserine and activation of caspase-3 [</w:t>
      </w:r>
      <w:hyperlink r:id="rId332" w:anchor="R193" w:history="1">
        <w:r w:rsidRPr="00556AA6">
          <w:rPr>
            <w:rStyle w:val="ac"/>
            <w:color w:val="auto"/>
            <w:sz w:val="28"/>
            <w:szCs w:val="28"/>
            <w:lang w:val="en-GB"/>
          </w:rPr>
          <w:t>193</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A large body of research has indicated that lead acts by interfering with calcium-dependent processes related to neuronal signaling and intracellular signal transduction. Lead perturbs intracellular calcium cycling, altering releasability of organelle stores, such as endoplasmic reticulum and mitochondria [</w:t>
      </w:r>
      <w:hyperlink r:id="rId333" w:anchor="R194" w:history="1">
        <w:r w:rsidRPr="00556AA6">
          <w:rPr>
            <w:rStyle w:val="ac"/>
            <w:color w:val="auto"/>
            <w:sz w:val="28"/>
            <w:szCs w:val="28"/>
            <w:lang w:val="en-GB"/>
          </w:rPr>
          <w:t>194</w:t>
        </w:r>
      </w:hyperlink>
      <w:r w:rsidRPr="00556AA6">
        <w:rPr>
          <w:sz w:val="28"/>
          <w:szCs w:val="28"/>
          <w:lang w:val="en-GB"/>
        </w:rPr>
        <w:t>, </w:t>
      </w:r>
      <w:hyperlink r:id="rId334" w:anchor="R195" w:history="1">
        <w:r w:rsidRPr="00556AA6">
          <w:rPr>
            <w:rStyle w:val="ac"/>
            <w:color w:val="auto"/>
            <w:sz w:val="28"/>
            <w:szCs w:val="28"/>
            <w:lang w:val="en-GB"/>
          </w:rPr>
          <w:t>195</w:t>
        </w:r>
      </w:hyperlink>
      <w:r w:rsidRPr="00556AA6">
        <w:rPr>
          <w:sz w:val="28"/>
          <w:szCs w:val="28"/>
          <w:lang w:val="en-GB"/>
        </w:rPr>
        <w:t>]. In some cases lead inhibits calcium-dependent events, including calcium-dependent release of several neurotransmitters and receptor-coupled ionophores in glutamatergic neurons [</w:t>
      </w:r>
      <w:hyperlink r:id="rId335" w:anchor="R196" w:history="1">
        <w:r w:rsidRPr="00556AA6">
          <w:rPr>
            <w:rStyle w:val="ac"/>
            <w:color w:val="auto"/>
            <w:sz w:val="28"/>
            <w:szCs w:val="28"/>
            <w:lang w:val="en-GB"/>
          </w:rPr>
          <w:t>196</w:t>
        </w:r>
      </w:hyperlink>
      <w:r w:rsidRPr="00556AA6">
        <w:rPr>
          <w:sz w:val="28"/>
          <w:szCs w:val="28"/>
          <w:lang w:val="en-GB"/>
        </w:rPr>
        <w:t>]. In other cases lead appears to augment calcium-dependent events, such as protein kinase C and calmodulin [</w:t>
      </w:r>
      <w:hyperlink r:id="rId336" w:anchor="R194" w:history="1">
        <w:r w:rsidRPr="00556AA6">
          <w:rPr>
            <w:rStyle w:val="ac"/>
            <w:color w:val="auto"/>
            <w:sz w:val="28"/>
            <w:szCs w:val="28"/>
            <w:lang w:val="en-GB"/>
          </w:rPr>
          <w:t>194</w:t>
        </w:r>
      </w:hyperlink>
      <w:r w:rsidRPr="00556AA6">
        <w:rPr>
          <w:sz w:val="28"/>
          <w:szCs w:val="28"/>
          <w:lang w:val="en-GB"/>
        </w:rPr>
        <w:t>, </w:t>
      </w:r>
      <w:hyperlink r:id="rId337" w:anchor="R197" w:history="1">
        <w:r w:rsidRPr="00556AA6">
          <w:rPr>
            <w:rStyle w:val="ac"/>
            <w:color w:val="auto"/>
            <w:sz w:val="28"/>
            <w:szCs w:val="28"/>
            <w:lang w:val="en-GB"/>
          </w:rPr>
          <w:t>197</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Experimental studies have indicated that lead is potentially carcinogenic, inducing renal tumors in rats and mice [</w:t>
      </w:r>
      <w:hyperlink r:id="rId338" w:anchor="R198" w:history="1">
        <w:r w:rsidRPr="00556AA6">
          <w:rPr>
            <w:rStyle w:val="ac"/>
            <w:color w:val="auto"/>
            <w:sz w:val="28"/>
            <w:szCs w:val="28"/>
            <w:lang w:val="en-GB"/>
          </w:rPr>
          <w:t>198</w:t>
        </w:r>
      </w:hyperlink>
      <w:r w:rsidRPr="00556AA6">
        <w:rPr>
          <w:sz w:val="28"/>
          <w:szCs w:val="28"/>
          <w:lang w:val="en-GB"/>
        </w:rPr>
        <w:t>, </w:t>
      </w:r>
      <w:hyperlink r:id="rId339" w:anchor="R199" w:history="1">
        <w:r w:rsidRPr="00556AA6">
          <w:rPr>
            <w:rStyle w:val="ac"/>
            <w:color w:val="auto"/>
            <w:sz w:val="28"/>
            <w:szCs w:val="28"/>
            <w:lang w:val="en-GB"/>
          </w:rPr>
          <w:t>199</w:t>
        </w:r>
      </w:hyperlink>
      <w:r w:rsidRPr="00556AA6">
        <w:rPr>
          <w:sz w:val="28"/>
          <w:szCs w:val="28"/>
          <w:lang w:val="en-GB"/>
        </w:rPr>
        <w:t>], and is therefore considered by the IARC as a probable human carcinogen [</w:t>
      </w:r>
      <w:hyperlink r:id="rId340" w:anchor="R200" w:history="1">
        <w:r w:rsidRPr="00556AA6">
          <w:rPr>
            <w:rStyle w:val="ac"/>
            <w:color w:val="auto"/>
            <w:sz w:val="28"/>
            <w:szCs w:val="28"/>
            <w:lang w:val="en-GB"/>
          </w:rPr>
          <w:t>200</w:t>
        </w:r>
      </w:hyperlink>
      <w:r w:rsidRPr="00556AA6">
        <w:rPr>
          <w:sz w:val="28"/>
          <w:szCs w:val="28"/>
          <w:lang w:val="en-GB"/>
        </w:rPr>
        <w:t>]. Lead exposure is also known to induce gene mutations and sister chromatid exchanges [</w:t>
      </w:r>
      <w:hyperlink r:id="rId341" w:anchor="R201" w:history="1">
        <w:r w:rsidRPr="00556AA6">
          <w:rPr>
            <w:rStyle w:val="ac"/>
            <w:color w:val="auto"/>
            <w:sz w:val="28"/>
            <w:szCs w:val="28"/>
            <w:lang w:val="en-GB"/>
          </w:rPr>
          <w:t>201</w:t>
        </w:r>
      </w:hyperlink>
      <w:r w:rsidRPr="00556AA6">
        <w:rPr>
          <w:sz w:val="28"/>
          <w:szCs w:val="28"/>
          <w:lang w:val="en-GB"/>
        </w:rPr>
        <w:t>, </w:t>
      </w:r>
      <w:hyperlink r:id="rId342" w:anchor="R202" w:history="1">
        <w:r w:rsidRPr="00556AA6">
          <w:rPr>
            <w:rStyle w:val="ac"/>
            <w:color w:val="auto"/>
            <w:sz w:val="28"/>
            <w:szCs w:val="28"/>
            <w:lang w:val="en-GB"/>
          </w:rPr>
          <w:t>202</w:t>
        </w:r>
      </w:hyperlink>
      <w:r w:rsidRPr="00556AA6">
        <w:rPr>
          <w:sz w:val="28"/>
          <w:szCs w:val="28"/>
          <w:lang w:val="en-GB"/>
        </w:rPr>
        <w:t>], morphological transformations in cultured rodent cells [</w:t>
      </w:r>
      <w:hyperlink r:id="rId343" w:anchor="R203" w:history="1">
        <w:r w:rsidRPr="00556AA6">
          <w:rPr>
            <w:rStyle w:val="ac"/>
            <w:color w:val="auto"/>
            <w:sz w:val="28"/>
            <w:szCs w:val="28"/>
            <w:lang w:val="en-GB"/>
          </w:rPr>
          <w:t>203</w:t>
        </w:r>
      </w:hyperlink>
      <w:r w:rsidRPr="00556AA6">
        <w:rPr>
          <w:sz w:val="28"/>
          <w:szCs w:val="28"/>
          <w:lang w:val="en-GB"/>
        </w:rPr>
        <w:t>], and to enhance anchorage independence in diploid human fibroblasts [</w:t>
      </w:r>
      <w:hyperlink r:id="rId344" w:anchor="R204" w:history="1">
        <w:r w:rsidRPr="00556AA6">
          <w:rPr>
            <w:rStyle w:val="ac"/>
            <w:color w:val="auto"/>
            <w:sz w:val="28"/>
            <w:szCs w:val="28"/>
            <w:lang w:val="en-GB"/>
          </w:rPr>
          <w:t>204</w:t>
        </w:r>
      </w:hyperlink>
      <w:r w:rsidRPr="00556AA6">
        <w:rPr>
          <w:sz w:val="28"/>
          <w:szCs w:val="28"/>
          <w:lang w:val="en-GB"/>
        </w:rPr>
        <w:t>]. </w:t>
      </w:r>
      <w:r w:rsidRPr="00556AA6">
        <w:rPr>
          <w:rStyle w:val="af4"/>
          <w:sz w:val="28"/>
          <w:szCs w:val="28"/>
          <w:lang w:val="en-GB"/>
        </w:rPr>
        <w:t>In vitro</w:t>
      </w:r>
      <w:r w:rsidRPr="00556AA6">
        <w:rPr>
          <w:sz w:val="28"/>
          <w:szCs w:val="28"/>
          <w:lang w:val="en-GB"/>
        </w:rPr>
        <w:t> and </w:t>
      </w:r>
      <w:r w:rsidRPr="00556AA6">
        <w:rPr>
          <w:rStyle w:val="af4"/>
          <w:sz w:val="28"/>
          <w:szCs w:val="28"/>
          <w:lang w:val="en-GB"/>
        </w:rPr>
        <w:t>in vivo</w:t>
      </w:r>
      <w:r w:rsidRPr="00556AA6">
        <w:rPr>
          <w:sz w:val="28"/>
          <w:szCs w:val="28"/>
          <w:lang w:val="en-GB"/>
        </w:rPr>
        <w:t> studies indicated that lead compounds cause genetic damage through various indirect mechanisms that include inhibition of DNA synthesis and repair, oxidative damage, and interaction with DNA-binding proteins and tumor suppressor proteins. Studies by Roy and his group showed that lead acetate induced mutagenicity at a toxic dose at the </w:t>
      </w:r>
      <w:r w:rsidRPr="00556AA6">
        <w:rPr>
          <w:rStyle w:val="af4"/>
          <w:sz w:val="28"/>
          <w:szCs w:val="28"/>
          <w:lang w:val="en-GB"/>
        </w:rPr>
        <w:t>E. coli gpt</w:t>
      </w:r>
      <w:r w:rsidRPr="00556AA6">
        <w:rPr>
          <w:sz w:val="28"/>
          <w:szCs w:val="28"/>
          <w:lang w:val="en-GB"/>
        </w:rPr>
        <w:t> locus transfected to V79 cells [</w:t>
      </w:r>
      <w:hyperlink r:id="rId345" w:anchor="R205" w:history="1">
        <w:r w:rsidRPr="00556AA6">
          <w:rPr>
            <w:rStyle w:val="ac"/>
            <w:color w:val="auto"/>
            <w:sz w:val="28"/>
            <w:szCs w:val="28"/>
            <w:lang w:val="en-GB"/>
          </w:rPr>
          <w:t>205</w:t>
        </w:r>
      </w:hyperlink>
      <w:r w:rsidRPr="00556AA6">
        <w:rPr>
          <w:sz w:val="28"/>
          <w:szCs w:val="28"/>
          <w:lang w:val="en-GB"/>
        </w:rPr>
        <w:t>]. They also reported that toxic doses of lead acetate and lead nitrate induced DNA breaks at the </w:t>
      </w:r>
      <w:r w:rsidRPr="00556AA6">
        <w:rPr>
          <w:rStyle w:val="af4"/>
          <w:sz w:val="28"/>
          <w:szCs w:val="28"/>
          <w:lang w:val="en-GB"/>
        </w:rPr>
        <w:t>E. coli gpt</w:t>
      </w:r>
      <w:r w:rsidRPr="00556AA6">
        <w:rPr>
          <w:sz w:val="28"/>
          <w:szCs w:val="28"/>
          <w:lang w:val="en-GB"/>
        </w:rPr>
        <w:t> locus transfected to V79 cells [</w:t>
      </w:r>
      <w:hyperlink r:id="rId346" w:anchor="R205" w:history="1">
        <w:r w:rsidRPr="00556AA6">
          <w:rPr>
            <w:rStyle w:val="ac"/>
            <w:color w:val="auto"/>
            <w:sz w:val="28"/>
            <w:szCs w:val="28"/>
            <w:lang w:val="en-GB"/>
          </w:rPr>
          <w:t>205</w:t>
        </w:r>
      </w:hyperlink>
      <w:r w:rsidRPr="00556AA6">
        <w:rPr>
          <w:sz w:val="28"/>
          <w:szCs w:val="28"/>
          <w:lang w:val="en-GB"/>
        </w:rPr>
        <w:t>]. Another study by Wise and his collaborators found no evidence for direct genotoxic or DNA-damaging effects of lead except for lead chromate. They pointed out that the genotoxicity may be due to hexavalent chromate rather than lead [</w:t>
      </w:r>
      <w:hyperlink r:id="rId347" w:anchor="R206" w:history="1">
        <w:r w:rsidRPr="00556AA6">
          <w:rPr>
            <w:rStyle w:val="ac"/>
            <w:color w:val="auto"/>
            <w:sz w:val="28"/>
            <w:szCs w:val="28"/>
            <w:lang w:val="en-GB"/>
          </w:rPr>
          <w:t>206</w:t>
        </w:r>
      </w:hyperlink>
      <w:r w:rsidRPr="00556AA6">
        <w:rPr>
          <w:sz w:val="28"/>
          <w:szCs w:val="28"/>
          <w:lang w:val="en-GB"/>
        </w:rPr>
        <w:t>].</w:t>
      </w: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p>
    <w:p w:rsidR="000C05D1" w:rsidRDefault="000C05D1" w:rsidP="000C05D1">
      <w:pPr>
        <w:pStyle w:val="3"/>
        <w:shd w:val="clear" w:color="auto" w:fill="FFFFFF"/>
        <w:tabs>
          <w:tab w:val="left" w:pos="900"/>
        </w:tabs>
        <w:spacing w:before="0" w:after="0"/>
        <w:ind w:firstLine="720"/>
        <w:jc w:val="both"/>
        <w:rPr>
          <w:b w:val="0"/>
          <w:bCs w:val="0"/>
          <w:sz w:val="28"/>
          <w:szCs w:val="28"/>
          <w:lang w:val="en-GB"/>
        </w:rPr>
      </w:pPr>
      <w:r w:rsidRPr="00556AA6">
        <w:rPr>
          <w:rFonts w:ascii="Times New Roman" w:hAnsi="Times New Roman" w:cs="Times New Roman"/>
          <w:color w:val="auto"/>
          <w:sz w:val="28"/>
          <w:szCs w:val="28"/>
          <w:lang w:val="en-GB"/>
        </w:rPr>
        <w:t>Mercury</w:t>
      </w:r>
      <w:r w:rsidRPr="00556AA6">
        <w:rPr>
          <w:b w:val="0"/>
          <w:bCs w:val="0"/>
          <w:sz w:val="28"/>
          <w:szCs w:val="28"/>
          <w:lang w:val="en-GB"/>
        </w:rPr>
        <w:t xml:space="preserve"> </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Environmental Occurrence, Industrial Production and Use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Mercury is a heavy metal belonging to the transition element series of the periodic table. It is unique in that it exists or is found in nature in three forms (elemental, inorganic, and organic), with each having its own profile of toxicity [</w:t>
      </w:r>
      <w:hyperlink r:id="rId348" w:anchor="R207" w:history="1">
        <w:r w:rsidRPr="00556AA6">
          <w:rPr>
            <w:rStyle w:val="ac"/>
            <w:color w:val="auto"/>
            <w:sz w:val="28"/>
            <w:szCs w:val="28"/>
            <w:lang w:val="en-GB"/>
          </w:rPr>
          <w:t>207</w:t>
        </w:r>
      </w:hyperlink>
      <w:r w:rsidRPr="00556AA6">
        <w:rPr>
          <w:sz w:val="28"/>
          <w:szCs w:val="28"/>
          <w:lang w:val="en-GB"/>
        </w:rPr>
        <w:t>]. At room temperature elemental mercury exists as a liquid which has a high vapor pressure and is released into the environment as mercury vapor. Mercury also exists as a cation with oxidation states of +1 (mercurous) or +2 (mercuric) [</w:t>
      </w:r>
      <w:hyperlink r:id="rId349" w:anchor="R208" w:history="1">
        <w:r w:rsidRPr="00556AA6">
          <w:rPr>
            <w:rStyle w:val="ac"/>
            <w:color w:val="auto"/>
            <w:sz w:val="28"/>
            <w:szCs w:val="28"/>
            <w:lang w:val="en-GB"/>
          </w:rPr>
          <w:t>208</w:t>
        </w:r>
      </w:hyperlink>
      <w:r w:rsidRPr="00556AA6">
        <w:rPr>
          <w:sz w:val="28"/>
          <w:szCs w:val="28"/>
          <w:lang w:val="en-GB"/>
        </w:rPr>
        <w:t>]. Methylmercury is the most frequently encountered compound of the organic form found in the environment, and is formed as a result of the methylation of inorganic (mercuric) forms of mercury by microorganisms found in soil and water [</w:t>
      </w:r>
      <w:hyperlink r:id="rId350" w:anchor="R209" w:history="1">
        <w:r w:rsidRPr="00556AA6">
          <w:rPr>
            <w:rStyle w:val="ac"/>
            <w:color w:val="auto"/>
            <w:sz w:val="28"/>
            <w:szCs w:val="28"/>
            <w:lang w:val="en-GB"/>
          </w:rPr>
          <w:t>209</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Mercury is a widespread environmental toxicant and pollutant which induces severe alterations in the body tissues and causes a wide range of adverse health effects [</w:t>
      </w:r>
      <w:hyperlink r:id="rId351" w:anchor="R210" w:history="1">
        <w:r w:rsidRPr="00556AA6">
          <w:rPr>
            <w:rStyle w:val="ac"/>
            <w:color w:val="auto"/>
            <w:sz w:val="28"/>
            <w:szCs w:val="28"/>
            <w:lang w:val="en-GB"/>
          </w:rPr>
          <w:t>210</w:t>
        </w:r>
      </w:hyperlink>
      <w:r w:rsidRPr="00556AA6">
        <w:rPr>
          <w:sz w:val="28"/>
          <w:szCs w:val="28"/>
          <w:lang w:val="en-GB"/>
        </w:rPr>
        <w:t>]. Both humans and animals are exposed to various chemical forms of mercury in the environment. These include elemental mercury vapor (Hg</w:t>
      </w:r>
      <w:r w:rsidRPr="00556AA6">
        <w:rPr>
          <w:sz w:val="28"/>
          <w:szCs w:val="28"/>
          <w:vertAlign w:val="superscript"/>
          <w:lang w:val="en-GB"/>
        </w:rPr>
        <w:t>0</w:t>
      </w:r>
      <w:r w:rsidRPr="00556AA6">
        <w:rPr>
          <w:sz w:val="28"/>
          <w:szCs w:val="28"/>
          <w:lang w:val="en-GB"/>
        </w:rPr>
        <w:t>), inorganic mercurous (Hg</w:t>
      </w:r>
      <w:r w:rsidRPr="00556AA6">
        <w:rPr>
          <w:sz w:val="28"/>
          <w:szCs w:val="28"/>
          <w:vertAlign w:val="superscript"/>
          <w:lang w:val="en-GB"/>
        </w:rPr>
        <w:t>+1</w:t>
      </w:r>
      <w:r w:rsidRPr="00556AA6">
        <w:rPr>
          <w:sz w:val="28"/>
          <w:szCs w:val="28"/>
          <w:lang w:val="en-GB"/>
        </w:rPr>
        <w:t>), mercuric (Hg</w:t>
      </w:r>
      <w:r w:rsidRPr="00556AA6">
        <w:rPr>
          <w:sz w:val="28"/>
          <w:szCs w:val="28"/>
          <w:vertAlign w:val="superscript"/>
          <w:lang w:val="en-GB"/>
        </w:rPr>
        <w:t>+2</w:t>
      </w:r>
      <w:r w:rsidRPr="00556AA6">
        <w:rPr>
          <w:sz w:val="28"/>
          <w:szCs w:val="28"/>
          <w:lang w:val="en-GB"/>
        </w:rPr>
        <w:t>), and the organic mercury compounds [</w:t>
      </w:r>
      <w:hyperlink r:id="rId352" w:anchor="R211" w:history="1">
        <w:r w:rsidRPr="00556AA6">
          <w:rPr>
            <w:rStyle w:val="ac"/>
            <w:color w:val="auto"/>
            <w:sz w:val="28"/>
            <w:szCs w:val="28"/>
            <w:lang w:val="en-GB"/>
          </w:rPr>
          <w:t>211</w:t>
        </w:r>
      </w:hyperlink>
      <w:r w:rsidRPr="00556AA6">
        <w:rPr>
          <w:sz w:val="28"/>
          <w:szCs w:val="28"/>
          <w:lang w:val="en-GB"/>
        </w:rPr>
        <w:t>]. Because mercury is ubiquitous in the environment, humans, plants and animals are all unable to avoid exposure to some form of mercury [</w:t>
      </w:r>
      <w:hyperlink r:id="rId353" w:anchor="R212" w:history="1">
        <w:r w:rsidRPr="00556AA6">
          <w:rPr>
            <w:rStyle w:val="ac"/>
            <w:color w:val="auto"/>
            <w:sz w:val="28"/>
            <w:szCs w:val="28"/>
            <w:lang w:val="en-GB"/>
          </w:rPr>
          <w:t>212</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Mercury is utilized in the electrical industry (switches, thermostats, batteries), dentistry (dental amalgams), and numerous industrial processes including the production of caustic soda, in nuclear reactors, as antifungal agents for wood processing, as a solvent for reactive and precious metal, and as a preservative of pharmaceutical products [</w:t>
      </w:r>
      <w:hyperlink r:id="rId354" w:anchor="R213" w:history="1">
        <w:r w:rsidRPr="00556AA6">
          <w:rPr>
            <w:rStyle w:val="ac"/>
            <w:color w:val="auto"/>
            <w:sz w:val="28"/>
            <w:szCs w:val="28"/>
            <w:lang w:val="en-GB"/>
          </w:rPr>
          <w:t>213</w:t>
        </w:r>
      </w:hyperlink>
      <w:r w:rsidRPr="00556AA6">
        <w:rPr>
          <w:sz w:val="28"/>
          <w:szCs w:val="28"/>
          <w:lang w:val="en-GB"/>
        </w:rPr>
        <w:t>]. The industrial demand for mercury peaked in 1964 and began to sharply decline between 1980 and 1994 as a result of federal bans on mercury additives in paints, pesticides, and the reduction of its use in batteries [</w:t>
      </w:r>
      <w:hyperlink r:id="rId355" w:anchor="R214" w:history="1">
        <w:r w:rsidRPr="00556AA6">
          <w:rPr>
            <w:rStyle w:val="ac"/>
            <w:color w:val="auto"/>
            <w:sz w:val="28"/>
            <w:szCs w:val="28"/>
            <w:lang w:val="en-GB"/>
          </w:rPr>
          <w:t>214</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Potential for Human Exposure</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Humans are exposed to all forms of mercury through accidents, environmental pollution, food contamination, dental care, preventive medical practices, industrial and agricultural operations, and occupational operations [</w:t>
      </w:r>
      <w:hyperlink r:id="rId356" w:anchor="R215" w:history="1">
        <w:r w:rsidRPr="00556AA6">
          <w:rPr>
            <w:rStyle w:val="ac"/>
            <w:color w:val="auto"/>
            <w:sz w:val="28"/>
            <w:szCs w:val="28"/>
            <w:lang w:val="en-GB"/>
          </w:rPr>
          <w:t>215</w:t>
        </w:r>
      </w:hyperlink>
      <w:r w:rsidRPr="00556AA6">
        <w:rPr>
          <w:sz w:val="28"/>
          <w:szCs w:val="28"/>
          <w:lang w:val="en-GB"/>
        </w:rPr>
        <w:t>]. The major sources of chronic, low level mercury exposure are dental amalgams and fish consumption. Mercury enters water as a natural process of off-gassing from the earth’s crust and also through industrial pollution [</w:t>
      </w:r>
      <w:hyperlink r:id="rId357" w:anchor="R216" w:history="1">
        <w:r w:rsidRPr="00556AA6">
          <w:rPr>
            <w:rStyle w:val="ac"/>
            <w:color w:val="auto"/>
            <w:sz w:val="28"/>
            <w:szCs w:val="28"/>
            <w:lang w:val="en-GB"/>
          </w:rPr>
          <w:t>216</w:t>
        </w:r>
      </w:hyperlink>
      <w:r w:rsidRPr="00556AA6">
        <w:rPr>
          <w:sz w:val="28"/>
          <w:szCs w:val="28"/>
          <w:lang w:val="en-GB"/>
        </w:rPr>
        <w:t>]. Algae and bacteria methylate the mercury entering the waterways. Methyl mercury then makes its way through the food chain into fish, shellfish, and eventually into humans [</w:t>
      </w:r>
      <w:hyperlink r:id="rId358" w:anchor="R217" w:history="1">
        <w:r w:rsidRPr="00556AA6">
          <w:rPr>
            <w:rStyle w:val="ac"/>
            <w:color w:val="auto"/>
            <w:sz w:val="28"/>
            <w:szCs w:val="28"/>
            <w:lang w:val="en-GB"/>
          </w:rPr>
          <w:t>217</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two most highly absorbed species are elemental mercury (Hg</w:t>
      </w:r>
      <w:r w:rsidRPr="00556AA6">
        <w:rPr>
          <w:sz w:val="28"/>
          <w:szCs w:val="28"/>
          <w:vertAlign w:val="superscript"/>
          <w:lang w:val="en-GB"/>
        </w:rPr>
        <w:t>0</w:t>
      </w:r>
      <w:r w:rsidRPr="00556AA6">
        <w:rPr>
          <w:sz w:val="28"/>
          <w:szCs w:val="28"/>
          <w:lang w:val="en-GB"/>
        </w:rPr>
        <w:t>) and methyl mercury (MeHg). Dental amalgams contain over 50% elemental mercury [</w:t>
      </w:r>
      <w:hyperlink r:id="rId359" w:anchor="R218" w:history="1">
        <w:r w:rsidRPr="00556AA6">
          <w:rPr>
            <w:rStyle w:val="ac"/>
            <w:color w:val="auto"/>
            <w:sz w:val="28"/>
            <w:szCs w:val="28"/>
            <w:lang w:val="en-GB"/>
          </w:rPr>
          <w:t>218</w:t>
        </w:r>
      </w:hyperlink>
      <w:r w:rsidRPr="00556AA6">
        <w:rPr>
          <w:sz w:val="28"/>
          <w:szCs w:val="28"/>
          <w:lang w:val="en-GB"/>
        </w:rPr>
        <w:t>]. The elemental vapor is highly lipophilic and is effectively absorbed through the lungs and tissues lining the mouth. After Hg</w:t>
      </w:r>
      <w:r w:rsidRPr="00556AA6">
        <w:rPr>
          <w:sz w:val="28"/>
          <w:szCs w:val="28"/>
          <w:vertAlign w:val="superscript"/>
          <w:lang w:val="en-GB"/>
        </w:rPr>
        <w:t>0</w:t>
      </w:r>
      <w:r w:rsidRPr="00556AA6">
        <w:rPr>
          <w:sz w:val="28"/>
          <w:szCs w:val="28"/>
          <w:lang w:val="en-GB"/>
        </w:rPr>
        <w:t> enters the blood, it rapidly passes through cell membranes, which include both the blood-brain barrier and the placental barrier [</w:t>
      </w:r>
      <w:hyperlink r:id="rId360" w:anchor="R219" w:history="1">
        <w:r w:rsidRPr="00556AA6">
          <w:rPr>
            <w:rStyle w:val="ac"/>
            <w:color w:val="auto"/>
            <w:sz w:val="28"/>
            <w:szCs w:val="28"/>
            <w:lang w:val="en-GB"/>
          </w:rPr>
          <w:t>219</w:t>
        </w:r>
      </w:hyperlink>
      <w:r w:rsidRPr="00556AA6">
        <w:rPr>
          <w:sz w:val="28"/>
          <w:szCs w:val="28"/>
          <w:lang w:val="en-GB"/>
        </w:rPr>
        <w:t>]. Once it gains entry into the cell, Hg</w:t>
      </w:r>
      <w:r w:rsidRPr="00556AA6">
        <w:rPr>
          <w:sz w:val="28"/>
          <w:szCs w:val="28"/>
          <w:vertAlign w:val="superscript"/>
          <w:lang w:val="en-GB"/>
        </w:rPr>
        <w:t>0</w:t>
      </w:r>
      <w:r w:rsidRPr="00556AA6">
        <w:rPr>
          <w:sz w:val="28"/>
          <w:szCs w:val="28"/>
          <w:lang w:val="en-GB"/>
        </w:rPr>
        <w:t> is oxidized and becomes highly reactive Hg</w:t>
      </w:r>
      <w:r w:rsidRPr="00556AA6">
        <w:rPr>
          <w:sz w:val="28"/>
          <w:szCs w:val="28"/>
          <w:vertAlign w:val="superscript"/>
          <w:lang w:val="en-GB"/>
        </w:rPr>
        <w:t>2+</w:t>
      </w:r>
      <w:r w:rsidRPr="00556AA6">
        <w:rPr>
          <w:sz w:val="28"/>
          <w:szCs w:val="28"/>
          <w:lang w:val="en-GB"/>
        </w:rPr>
        <w:t xml:space="preserve">. Methyl mercury derived from eating fish is readily </w:t>
      </w:r>
      <w:r w:rsidRPr="00556AA6">
        <w:rPr>
          <w:sz w:val="28"/>
          <w:szCs w:val="28"/>
          <w:lang w:val="en-GB"/>
        </w:rPr>
        <w:lastRenderedPageBreak/>
        <w:t>absorbed in the gastrointestinal tract and because of its lipid solubility, can easily cross both the placental and blood-brain barriers. Once mercury is absorbed it has a very low excretion rate. A major proportion of what is absorbed accumulates in the kidneys, neurological tissue and the liver. All forms of mercury are toxic and their effects include gastrointestinal toxicity, neurotoxicity, and nephrotoxicity [</w:t>
      </w:r>
      <w:hyperlink r:id="rId361" w:anchor="R213" w:history="1">
        <w:r w:rsidRPr="00556AA6">
          <w:rPr>
            <w:rStyle w:val="ac"/>
            <w:color w:val="auto"/>
            <w:sz w:val="28"/>
            <w:szCs w:val="28"/>
            <w:lang w:val="en-GB"/>
          </w:rPr>
          <w:t>213</w:t>
        </w:r>
      </w:hyperlink>
      <w:r w:rsidRPr="00556AA6">
        <w:rPr>
          <w:sz w:val="28"/>
          <w:szCs w:val="28"/>
          <w:lang w:val="en-GB"/>
        </w:rPr>
        <w:t>].</w:t>
      </w:r>
    </w:p>
    <w:p w:rsidR="000C05D1" w:rsidRPr="00556AA6" w:rsidRDefault="000C05D1" w:rsidP="000C05D1">
      <w:pPr>
        <w:pStyle w:val="3"/>
        <w:shd w:val="clear" w:color="auto" w:fill="FFFFFF"/>
        <w:tabs>
          <w:tab w:val="left" w:pos="900"/>
        </w:tabs>
        <w:spacing w:before="0" w:after="0"/>
        <w:ind w:firstLine="720"/>
        <w:jc w:val="both"/>
        <w:rPr>
          <w:rFonts w:ascii="Times New Roman" w:hAnsi="Times New Roman" w:cs="Times New Roman"/>
          <w:b w:val="0"/>
          <w:bCs w:val="0"/>
          <w:color w:val="auto"/>
          <w:sz w:val="28"/>
          <w:szCs w:val="28"/>
          <w:lang w:val="en-GB"/>
        </w:rPr>
      </w:pPr>
      <w:r w:rsidRPr="00556AA6">
        <w:rPr>
          <w:rFonts w:ascii="Times New Roman" w:hAnsi="Times New Roman" w:cs="Times New Roman"/>
          <w:b w:val="0"/>
          <w:bCs w:val="0"/>
          <w:color w:val="auto"/>
          <w:sz w:val="28"/>
          <w:szCs w:val="28"/>
          <w:lang w:val="en-GB"/>
        </w:rPr>
        <w:t>Molecular Mechanisms of Mercury Toxicity and Carcingenicity</w:t>
      </w:r>
    </w:p>
    <w:p w:rsidR="000C05D1" w:rsidRPr="00556AA6" w:rsidRDefault="000C05D1" w:rsidP="000C05D1">
      <w:pPr>
        <w:pStyle w:val="pp-fir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molecular mechanisms of toxicity of mercury are based on its chemical activity and biological features which suggest that oxidative stress is involved in its toxicity [</w:t>
      </w:r>
      <w:hyperlink r:id="rId362" w:anchor="R220" w:history="1">
        <w:r w:rsidRPr="00556AA6">
          <w:rPr>
            <w:rStyle w:val="ac"/>
            <w:color w:val="auto"/>
            <w:sz w:val="28"/>
            <w:szCs w:val="28"/>
            <w:lang w:val="en-GB"/>
          </w:rPr>
          <w:t>220</w:t>
        </w:r>
      </w:hyperlink>
      <w:r w:rsidRPr="00556AA6">
        <w:rPr>
          <w:sz w:val="28"/>
          <w:szCs w:val="28"/>
          <w:lang w:val="en-GB"/>
        </w:rPr>
        <w:t>]. Through oxidative stress mercury has shown mechanisms of sulfhydryl reactivity. Once in the cell both Hg</w:t>
      </w:r>
      <w:r w:rsidRPr="00556AA6">
        <w:rPr>
          <w:sz w:val="28"/>
          <w:szCs w:val="28"/>
          <w:vertAlign w:val="superscript"/>
          <w:lang w:val="en-GB"/>
        </w:rPr>
        <w:t>2+</w:t>
      </w:r>
      <w:r w:rsidRPr="00556AA6">
        <w:rPr>
          <w:sz w:val="28"/>
          <w:szCs w:val="28"/>
          <w:lang w:val="en-GB"/>
        </w:rPr>
        <w:t> and MeHg form covalent bonds with cysteine residues of proteins and deplete cellular antioxidants. Antioxidant enzymes serve as a line of cellular defense against mercury compounds [</w:t>
      </w:r>
      <w:hyperlink r:id="rId363" w:anchor="R221" w:history="1">
        <w:r w:rsidRPr="00556AA6">
          <w:rPr>
            <w:rStyle w:val="ac"/>
            <w:color w:val="auto"/>
            <w:sz w:val="28"/>
            <w:szCs w:val="28"/>
            <w:lang w:val="en-GB"/>
          </w:rPr>
          <w:t>221</w:t>
        </w:r>
      </w:hyperlink>
      <w:r w:rsidRPr="00556AA6">
        <w:rPr>
          <w:sz w:val="28"/>
          <w:szCs w:val="28"/>
          <w:lang w:val="en-GB"/>
        </w:rPr>
        <w:t>]. The interaction of mercury compounds suggests the production of oxidative damage through the accumulation of reactive oxygen species (ROS) which would normally be eliminated by cellular antioxidants.</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In eukaryotic organisms the primary site for the production of reactive oxygen species (ROS) occurs in the mitochondria through normal metabolism [</w:t>
      </w:r>
      <w:hyperlink r:id="rId364" w:anchor="R222" w:history="1">
        <w:r w:rsidRPr="00556AA6">
          <w:rPr>
            <w:rStyle w:val="ac"/>
            <w:color w:val="auto"/>
            <w:sz w:val="28"/>
            <w:szCs w:val="28"/>
            <w:lang w:val="en-GB"/>
          </w:rPr>
          <w:t>222</w:t>
        </w:r>
      </w:hyperlink>
      <w:r w:rsidRPr="00556AA6">
        <w:rPr>
          <w:sz w:val="28"/>
          <w:szCs w:val="28"/>
          <w:lang w:val="en-GB"/>
        </w:rPr>
        <w:t>]. Inorganic mercury has been reported to increase the production of these ROS by causing defects in oxidative phosphorylation and electron transport at the ubiquinone-cytochrome b5 step [</w:t>
      </w:r>
      <w:hyperlink r:id="rId365" w:anchor="R223" w:history="1">
        <w:r w:rsidRPr="00556AA6">
          <w:rPr>
            <w:rStyle w:val="ac"/>
            <w:color w:val="auto"/>
            <w:sz w:val="28"/>
            <w:szCs w:val="28"/>
            <w:lang w:val="en-GB"/>
          </w:rPr>
          <w:t>223</w:t>
        </w:r>
      </w:hyperlink>
      <w:r w:rsidRPr="00556AA6">
        <w:rPr>
          <w:sz w:val="28"/>
          <w:szCs w:val="28"/>
          <w:lang w:val="en-GB"/>
        </w:rPr>
        <w:t>]. Through the acceleration of the rate of electron transfer in the electron transport chain in the mitochondria, mercury induces the premature shedding of electrons to molecular oxygen which causes an increase in the generation of reactive oxygen species [</w:t>
      </w:r>
      <w:hyperlink r:id="rId366" w:anchor="R224" w:history="1">
        <w:r w:rsidRPr="00556AA6">
          <w:rPr>
            <w:rStyle w:val="ac"/>
            <w:color w:val="auto"/>
            <w:sz w:val="28"/>
            <w:szCs w:val="28"/>
            <w:lang w:val="en-GB"/>
          </w:rPr>
          <w:t>224</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Oxidative stress appears to also have an effect on calcium homeostasis. The role of calcium in the activation of proteases, endonucleases and phospholipases is well established. The activation of phospholipase A</w:t>
      </w:r>
      <w:r w:rsidRPr="00556AA6">
        <w:rPr>
          <w:sz w:val="28"/>
          <w:szCs w:val="28"/>
          <w:vertAlign w:val="subscript"/>
          <w:lang w:val="en-GB"/>
        </w:rPr>
        <w:t>2</w:t>
      </w:r>
      <w:r w:rsidRPr="00556AA6">
        <w:rPr>
          <w:sz w:val="28"/>
          <w:szCs w:val="28"/>
          <w:lang w:val="en-GB"/>
        </w:rPr>
        <w:t> has been shown to result in an increase in reactive oxygen species through the increase generation of arachidonic acid. Arachidonic acid has also been shown to be an important target of reactive oxygen species [</w:t>
      </w:r>
      <w:hyperlink r:id="rId367" w:anchor="R225" w:history="1">
        <w:r w:rsidRPr="00556AA6">
          <w:rPr>
            <w:rStyle w:val="ac"/>
            <w:color w:val="auto"/>
            <w:sz w:val="28"/>
            <w:szCs w:val="28"/>
            <w:lang w:val="en-GB"/>
          </w:rPr>
          <w:t>225</w:t>
        </w:r>
      </w:hyperlink>
      <w:r w:rsidRPr="00556AA6">
        <w:rPr>
          <w:sz w:val="28"/>
          <w:szCs w:val="28"/>
          <w:lang w:val="en-GB"/>
        </w:rPr>
        <w:t>]. Both organic and inorganic mercury have been shown to alter calcium homeostasis but through different mechanisms. Organic mercury compounds (MeHg) are believed to increase intracellular calcium by accelerating the influx of calcium from the extracellular medium and mobilizing intracellular stores, while inorganic mercury (Hg</w:t>
      </w:r>
      <w:r w:rsidRPr="00556AA6">
        <w:rPr>
          <w:sz w:val="28"/>
          <w:szCs w:val="28"/>
          <w:vertAlign w:val="superscript"/>
          <w:lang w:val="en-GB"/>
        </w:rPr>
        <w:t>2+)</w:t>
      </w:r>
      <w:r w:rsidRPr="00556AA6">
        <w:rPr>
          <w:sz w:val="28"/>
          <w:szCs w:val="28"/>
          <w:lang w:val="en-GB"/>
        </w:rPr>
        <w:t> compounds increase intracellular calcium stores only through the influx of calcium from the extracellular medium [</w:t>
      </w:r>
      <w:hyperlink r:id="rId368" w:anchor="R226" w:history="1">
        <w:r w:rsidRPr="00556AA6">
          <w:rPr>
            <w:rStyle w:val="ac"/>
            <w:color w:val="auto"/>
            <w:sz w:val="28"/>
            <w:szCs w:val="28"/>
            <w:lang w:val="en-GB"/>
          </w:rPr>
          <w:t>226</w:t>
        </w:r>
      </w:hyperlink>
      <w:r w:rsidRPr="00556AA6">
        <w:rPr>
          <w:sz w:val="28"/>
          <w:szCs w:val="28"/>
          <w:lang w:val="en-GB"/>
        </w:rPr>
        <w:t>]. Mercury compounds have also been shown to induce increased levels of MDA in both the livers, kidneys, lungs and testes of rats treated with HgCl</w:t>
      </w:r>
      <w:r w:rsidRPr="00556AA6">
        <w:rPr>
          <w:sz w:val="28"/>
          <w:szCs w:val="28"/>
          <w:vertAlign w:val="subscript"/>
          <w:lang w:val="en-GB"/>
        </w:rPr>
        <w:t>2</w:t>
      </w:r>
      <w:r w:rsidRPr="00556AA6">
        <w:rPr>
          <w:sz w:val="28"/>
          <w:szCs w:val="28"/>
          <w:lang w:val="en-GB"/>
        </w:rPr>
        <w:t> [</w:t>
      </w:r>
      <w:hyperlink r:id="rId369" w:anchor="R227" w:history="1">
        <w:r w:rsidRPr="00556AA6">
          <w:rPr>
            <w:rStyle w:val="ac"/>
            <w:color w:val="auto"/>
            <w:sz w:val="28"/>
            <w:szCs w:val="28"/>
            <w:lang w:val="en-GB"/>
          </w:rPr>
          <w:t>227</w:t>
        </w:r>
      </w:hyperlink>
      <w:r w:rsidRPr="00556AA6">
        <w:rPr>
          <w:sz w:val="28"/>
          <w:szCs w:val="28"/>
          <w:lang w:val="en-GB"/>
        </w:rPr>
        <w:t>]. This increase in concentration was shown to correlate with the severity of hepatotoxicity and nephrotoxicity [</w:t>
      </w:r>
      <w:hyperlink r:id="rId370" w:anchor="R228" w:history="1">
        <w:r w:rsidRPr="00556AA6">
          <w:rPr>
            <w:rStyle w:val="ac"/>
            <w:color w:val="auto"/>
            <w:sz w:val="28"/>
            <w:szCs w:val="28"/>
            <w:lang w:val="en-GB"/>
          </w:rPr>
          <w:t>228</w:t>
        </w:r>
      </w:hyperlink>
      <w:r w:rsidRPr="00556AA6">
        <w:rPr>
          <w:sz w:val="28"/>
          <w:szCs w:val="28"/>
          <w:lang w:val="en-GB"/>
        </w:rPr>
        <w:t>]. HgCl</w:t>
      </w:r>
      <w:r w:rsidRPr="00556AA6">
        <w:rPr>
          <w:sz w:val="28"/>
          <w:szCs w:val="28"/>
          <w:vertAlign w:val="subscript"/>
          <w:lang w:val="en-GB"/>
        </w:rPr>
        <w:t>2-</w:t>
      </w:r>
      <w:r w:rsidRPr="00556AA6">
        <w:rPr>
          <w:sz w:val="28"/>
          <w:szCs w:val="28"/>
          <w:lang w:val="en-GB"/>
        </w:rPr>
        <w:t>induced lipid peroxidation was shown to be significantly reduced by antioxidant pretreatment with selenium. Selenium has been shown to achieve this protective effect through direct binding to mercury or serving as a cofactor for glutathione peroxidase and facilitating its ability to scavenge ROS [</w:t>
      </w:r>
      <w:hyperlink r:id="rId371" w:anchor="R229" w:history="1">
        <w:r w:rsidRPr="00556AA6">
          <w:rPr>
            <w:rStyle w:val="ac"/>
            <w:color w:val="auto"/>
            <w:sz w:val="28"/>
            <w:szCs w:val="28"/>
            <w:lang w:val="en-GB"/>
          </w:rPr>
          <w:t>229</w:t>
        </w:r>
      </w:hyperlink>
      <w:r w:rsidRPr="00556AA6">
        <w:rPr>
          <w:sz w:val="28"/>
          <w:szCs w:val="28"/>
          <w:lang w:val="en-GB"/>
        </w:rPr>
        <w:t>]. Vitamin E has also been reported to protect against HgCl</w:t>
      </w:r>
      <w:r w:rsidRPr="00556AA6">
        <w:rPr>
          <w:sz w:val="28"/>
          <w:szCs w:val="28"/>
          <w:vertAlign w:val="subscript"/>
          <w:lang w:val="en-GB"/>
        </w:rPr>
        <w:t>2</w:t>
      </w:r>
      <w:r w:rsidRPr="00556AA6">
        <w:rPr>
          <w:sz w:val="28"/>
          <w:szCs w:val="28"/>
          <w:lang w:val="en-GB"/>
        </w:rPr>
        <w:t>-induced lipid peroxidation in the liver [</w:t>
      </w:r>
      <w:hyperlink r:id="rId372" w:anchor="R230" w:history="1">
        <w:r w:rsidRPr="00556AA6">
          <w:rPr>
            <w:rStyle w:val="ac"/>
            <w:color w:val="auto"/>
            <w:sz w:val="28"/>
            <w:szCs w:val="28"/>
            <w:lang w:val="en-GB"/>
          </w:rPr>
          <w:t>230</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 xml:space="preserve">Metal-induced carcinogenicity has been a research subject of great public health interest. Generally, carcinogenesis is considered to have three stages </w:t>
      </w:r>
      <w:r w:rsidRPr="00556AA6">
        <w:rPr>
          <w:sz w:val="28"/>
          <w:szCs w:val="28"/>
          <w:lang w:val="en-GB"/>
        </w:rPr>
        <w:lastRenderedPageBreak/>
        <w:t>including initiation, promotion, and progression and metastasis. Although mutations of DNA, which can activate oncogenesis or inhibit tumor suppression, were traditionally thought to be crucial factors for the initiation of carcinogenesis, recent studies have demonstrated that other molecular events such as transcription activation, signal transduction, oncogene amplification, and recombination, also constitute significant contributing factors [</w:t>
      </w:r>
      <w:hyperlink r:id="rId373" w:anchor="R231" w:history="1">
        <w:r w:rsidRPr="00556AA6">
          <w:rPr>
            <w:rStyle w:val="ac"/>
            <w:color w:val="auto"/>
            <w:sz w:val="28"/>
            <w:szCs w:val="28"/>
            <w:lang w:val="en-GB"/>
          </w:rPr>
          <w:t>231</w:t>
        </w:r>
      </w:hyperlink>
      <w:r w:rsidRPr="00556AA6">
        <w:rPr>
          <w:sz w:val="28"/>
          <w:szCs w:val="28"/>
          <w:lang w:val="en-GB"/>
        </w:rPr>
        <w:t>, </w:t>
      </w:r>
      <w:hyperlink r:id="rId374" w:anchor="R232" w:history="1">
        <w:r w:rsidRPr="00556AA6">
          <w:rPr>
            <w:rStyle w:val="ac"/>
            <w:color w:val="auto"/>
            <w:sz w:val="28"/>
            <w:szCs w:val="28"/>
            <w:lang w:val="en-GB"/>
          </w:rPr>
          <w:t>232</w:t>
        </w:r>
      </w:hyperlink>
      <w:r w:rsidRPr="00556AA6">
        <w:rPr>
          <w:sz w:val="28"/>
          <w:szCs w:val="28"/>
          <w:lang w:val="en-GB"/>
        </w:rPr>
        <w:t>]. Studies have shown that mercury and other toxic metals effect cellular organelles and adversely affect their biologic functions [</w:t>
      </w:r>
      <w:hyperlink r:id="rId375" w:anchor="R231" w:history="1">
        <w:r w:rsidRPr="00556AA6">
          <w:rPr>
            <w:rStyle w:val="ac"/>
            <w:color w:val="auto"/>
            <w:sz w:val="28"/>
            <w:szCs w:val="28"/>
            <w:lang w:val="en-GB"/>
          </w:rPr>
          <w:t>231</w:t>
        </w:r>
      </w:hyperlink>
      <w:r w:rsidRPr="00556AA6">
        <w:rPr>
          <w:sz w:val="28"/>
          <w:szCs w:val="28"/>
          <w:lang w:val="en-GB"/>
        </w:rPr>
        <w:t>, </w:t>
      </w:r>
      <w:hyperlink r:id="rId376" w:anchor="R233" w:history="1">
        <w:r w:rsidRPr="00556AA6">
          <w:rPr>
            <w:rStyle w:val="ac"/>
            <w:color w:val="auto"/>
            <w:sz w:val="28"/>
            <w:szCs w:val="28"/>
            <w:lang w:val="en-GB"/>
          </w:rPr>
          <w:t>233</w:t>
        </w:r>
      </w:hyperlink>
      <w:r w:rsidRPr="00556AA6">
        <w:rPr>
          <w:sz w:val="28"/>
          <w:szCs w:val="28"/>
          <w:lang w:val="en-GB"/>
        </w:rPr>
        <w:t>]. Accumulating evidence also suggests that ROS play a major role in the mediation of metal-induced cellular responses and carcinogenesis [</w:t>
      </w:r>
      <w:hyperlink r:id="rId377" w:anchor="R234" w:history="1">
        <w:r w:rsidRPr="00556AA6">
          <w:rPr>
            <w:rStyle w:val="ac"/>
            <w:color w:val="auto"/>
            <w:sz w:val="28"/>
            <w:szCs w:val="28"/>
            <w:lang w:val="en-GB"/>
          </w:rPr>
          <w:t>234</w:t>
        </w:r>
      </w:hyperlink>
      <w:r w:rsidRPr="00556AA6">
        <w:rPr>
          <w:sz w:val="28"/>
          <w:szCs w:val="28"/>
          <w:lang w:val="en-GB"/>
        </w:rPr>
        <w:t>–</w:t>
      </w:r>
      <w:hyperlink r:id="rId378" w:anchor="R236" w:history="1">
        <w:r w:rsidRPr="00556AA6">
          <w:rPr>
            <w:rStyle w:val="ac"/>
            <w:color w:val="auto"/>
            <w:sz w:val="28"/>
            <w:szCs w:val="28"/>
            <w:lang w:val="en-GB"/>
          </w:rPr>
          <w:t>236</w:t>
        </w:r>
      </w:hyperlink>
      <w:r w:rsidRPr="00556AA6">
        <w:rPr>
          <w:sz w:val="28"/>
          <w:szCs w:val="28"/>
          <w:lang w:val="en-GB"/>
        </w:rPr>
        <w:t>].</w:t>
      </w:r>
    </w:p>
    <w:p w:rsidR="000C05D1" w:rsidRPr="00556AA6" w:rsidRDefault="000C05D1" w:rsidP="000C05D1">
      <w:pPr>
        <w:pStyle w:val="af3"/>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The connection between mercury exposure and carcinogenesis is very controversial. While some studies have confirmed its genotoxic potential, others have not shown an association between mercury exposure and genotoxic damage [</w:t>
      </w:r>
      <w:hyperlink r:id="rId379" w:anchor="R237" w:history="1">
        <w:r w:rsidRPr="00556AA6">
          <w:rPr>
            <w:rStyle w:val="ac"/>
            <w:color w:val="auto"/>
            <w:sz w:val="28"/>
            <w:szCs w:val="28"/>
            <w:lang w:val="en-GB"/>
          </w:rPr>
          <w:t>237</w:t>
        </w:r>
      </w:hyperlink>
      <w:r w:rsidRPr="00556AA6">
        <w:rPr>
          <w:sz w:val="28"/>
          <w:szCs w:val="28"/>
          <w:lang w:val="en-GB"/>
        </w:rPr>
        <w:t>]. In studies implicating mercury as a genotoxic agent, oxidative stress has been described has the molecular mechanism of toxicity. Hence, mercury has been shown to induce the formation of ROS known to cause DNA damage in cells, a process which can lead to the initiation of carcinogenic processes [</w:t>
      </w:r>
      <w:hyperlink r:id="rId380" w:anchor="R238" w:history="1">
        <w:r w:rsidRPr="00556AA6">
          <w:rPr>
            <w:rStyle w:val="ac"/>
            <w:color w:val="auto"/>
            <w:sz w:val="28"/>
            <w:szCs w:val="28"/>
            <w:lang w:val="en-GB"/>
          </w:rPr>
          <w:t>238</w:t>
        </w:r>
      </w:hyperlink>
      <w:r w:rsidRPr="00556AA6">
        <w:rPr>
          <w:sz w:val="28"/>
          <w:szCs w:val="28"/>
          <w:lang w:val="en-GB"/>
        </w:rPr>
        <w:t>, </w:t>
      </w:r>
      <w:hyperlink r:id="rId381" w:anchor="R239" w:history="1">
        <w:r w:rsidRPr="00556AA6">
          <w:rPr>
            <w:rStyle w:val="ac"/>
            <w:color w:val="auto"/>
            <w:sz w:val="28"/>
            <w:szCs w:val="28"/>
            <w:lang w:val="en-GB"/>
          </w:rPr>
          <w:t>239</w:t>
        </w:r>
      </w:hyperlink>
      <w:r w:rsidRPr="00556AA6">
        <w:rPr>
          <w:sz w:val="28"/>
          <w:szCs w:val="28"/>
          <w:lang w:val="en-GB"/>
        </w:rPr>
        <w:t>]. The direct action of these free radicals on nucleic acids may generate genetic mutations. Although mercury-containing compounds are not mutagenic in bacterial assays, inorganic mercury has been shown to induce mutational events in eukaryotic cell lines with doses as low as 0.5 µM [</w:t>
      </w:r>
      <w:hyperlink r:id="rId382" w:anchor="R240" w:history="1">
        <w:r w:rsidRPr="00556AA6">
          <w:rPr>
            <w:rStyle w:val="ac"/>
            <w:color w:val="auto"/>
            <w:sz w:val="28"/>
            <w:szCs w:val="28"/>
            <w:lang w:val="en-GB"/>
          </w:rPr>
          <w:t>240</w:t>
        </w:r>
      </w:hyperlink>
      <w:r w:rsidRPr="00556AA6">
        <w:rPr>
          <w:sz w:val="28"/>
          <w:szCs w:val="28"/>
          <w:lang w:val="en-GB"/>
        </w:rPr>
        <w:t>]. These free radicals may also induce conformational changes in proteins that are responsible for DNA repair, mitotic spindle, and chromosomal segregation [</w:t>
      </w:r>
      <w:hyperlink r:id="rId383" w:anchor="R241" w:history="1">
        <w:r w:rsidRPr="00556AA6">
          <w:rPr>
            <w:rStyle w:val="ac"/>
            <w:color w:val="auto"/>
            <w:sz w:val="28"/>
            <w:szCs w:val="28"/>
            <w:lang w:val="en-GB"/>
          </w:rPr>
          <w:t>241</w:t>
        </w:r>
      </w:hyperlink>
      <w:r w:rsidRPr="00556AA6">
        <w:rPr>
          <w:sz w:val="28"/>
          <w:szCs w:val="28"/>
          <w:lang w:val="en-GB"/>
        </w:rPr>
        <w:t>]. To combat these effects, cells have antioxidant mechanisms that work to correct and avoid the formation of ROS (free radicals) in excess. These antioxidant mechanisms involve low molecular weight compounds such as vitamins C and E, melatonin, glutathione, superoxide dismutase, catalase, glutathione peroxidase and glutathione reductase that protect the cells by chelating mercury and reducing its oxidative stress potential [</w:t>
      </w:r>
      <w:hyperlink r:id="rId384" w:anchor="R242" w:history="1">
        <w:r w:rsidRPr="00556AA6">
          <w:rPr>
            <w:rStyle w:val="ac"/>
            <w:color w:val="auto"/>
            <w:sz w:val="28"/>
            <w:szCs w:val="28"/>
            <w:lang w:val="en-GB"/>
          </w:rPr>
          <w:t>242</w:t>
        </w:r>
      </w:hyperlink>
      <w:r w:rsidRPr="00556AA6">
        <w:rPr>
          <w:sz w:val="28"/>
          <w:szCs w:val="28"/>
          <w:lang w:val="en-GB"/>
        </w:rPr>
        <w:t>].</w:t>
      </w:r>
    </w:p>
    <w:p w:rsidR="000C05D1" w:rsidRPr="00556AA6" w:rsidRDefault="000C05D1" w:rsidP="000C05D1">
      <w:pPr>
        <w:pStyle w:val="pp-last"/>
        <w:shd w:val="clear" w:color="auto" w:fill="FFFFFF"/>
        <w:tabs>
          <w:tab w:val="left" w:pos="900"/>
        </w:tabs>
        <w:spacing w:before="0" w:beforeAutospacing="0" w:after="0" w:afterAutospacing="0"/>
        <w:ind w:firstLine="720"/>
        <w:jc w:val="both"/>
        <w:rPr>
          <w:sz w:val="28"/>
          <w:szCs w:val="28"/>
          <w:lang w:val="en-GB"/>
        </w:rPr>
      </w:pPr>
      <w:r w:rsidRPr="00556AA6">
        <w:rPr>
          <w:sz w:val="28"/>
          <w:szCs w:val="28"/>
          <w:lang w:val="en-GB"/>
        </w:rPr>
        <w:t>Glutathione levels in human populations exposed to methylmercury intoxication by eating contaminated fish have been shown to be higher than normal [</w:t>
      </w:r>
      <w:hyperlink r:id="rId385" w:anchor="R243" w:history="1">
        <w:r w:rsidRPr="00556AA6">
          <w:rPr>
            <w:rStyle w:val="ac"/>
            <w:color w:val="auto"/>
            <w:sz w:val="28"/>
            <w:szCs w:val="28"/>
            <w:lang w:val="en-GB"/>
          </w:rPr>
          <w:t>243</w:t>
        </w:r>
      </w:hyperlink>
      <w:r w:rsidRPr="00556AA6">
        <w:rPr>
          <w:sz w:val="28"/>
          <w:szCs w:val="28"/>
          <w:lang w:val="en-GB"/>
        </w:rPr>
        <w:t>]. These studies were also able to confirm a direct and positive correlation between mercury and glutathione levels in blood. They also confirmed an increased mitotic index and polyploidal aberrations associated with mercury exposure [</w:t>
      </w:r>
      <w:hyperlink r:id="rId386" w:anchor="R243" w:history="1">
        <w:r w:rsidRPr="00556AA6">
          <w:rPr>
            <w:rStyle w:val="ac"/>
            <w:color w:val="auto"/>
            <w:sz w:val="28"/>
            <w:szCs w:val="28"/>
            <w:lang w:val="en-GB"/>
          </w:rPr>
          <w:t>243</w:t>
        </w:r>
      </w:hyperlink>
      <w:r w:rsidRPr="00556AA6">
        <w:rPr>
          <w:sz w:val="28"/>
          <w:szCs w:val="28"/>
          <w:lang w:val="en-GB"/>
        </w:rPr>
        <w:t>]. Epidemiological studies have demonstrated that enzymatic activity was altered in populations exposed to mercury; producing genotoxic alterations, and suggesting that both chronic and relatively low level mercury exposures may inhibit enzyme activity and induce oxidative stress in the cells [</w:t>
      </w:r>
      <w:hyperlink r:id="rId387" w:anchor="R244" w:history="1">
        <w:r w:rsidRPr="00556AA6">
          <w:rPr>
            <w:rStyle w:val="ac"/>
            <w:color w:val="auto"/>
            <w:sz w:val="28"/>
            <w:szCs w:val="28"/>
            <w:lang w:val="en-GB"/>
          </w:rPr>
          <w:t>244</w:t>
        </w:r>
      </w:hyperlink>
      <w:r w:rsidRPr="00556AA6">
        <w:rPr>
          <w:sz w:val="28"/>
          <w:szCs w:val="28"/>
          <w:lang w:val="en-GB"/>
        </w:rPr>
        <w:t>]. There is no doubt that the connection between mercury exposure and carcinogenesis is very controversial. However, </w:t>
      </w:r>
      <w:r w:rsidRPr="00556AA6">
        <w:rPr>
          <w:rStyle w:val="af4"/>
          <w:sz w:val="28"/>
          <w:szCs w:val="28"/>
          <w:lang w:val="en-GB"/>
        </w:rPr>
        <w:t>in-vitro</w:t>
      </w:r>
      <w:r w:rsidRPr="00556AA6">
        <w:rPr>
          <w:sz w:val="28"/>
          <w:szCs w:val="28"/>
          <w:lang w:val="en-GB"/>
        </w:rPr>
        <w:t> studies suggest that the susceptibility to DNA damage exists as a result of cellular exposure to mercury. These studies also indicate that mercury-induced toxicity and carcinogenicity may be cell-, organ- and/or species- specific.</w:t>
      </w:r>
    </w:p>
    <w:p w:rsidR="00726CD3" w:rsidRDefault="00726CD3" w:rsidP="008B3A59">
      <w:pPr>
        <w:ind w:firstLine="720"/>
        <w:jc w:val="both"/>
        <w:rPr>
          <w:rFonts w:ascii="Times New Roman" w:hAnsi="Times New Roman" w:cs="Times New Roman"/>
          <w:sz w:val="28"/>
          <w:szCs w:val="28"/>
        </w:rPr>
      </w:pPr>
    </w:p>
    <w:p w:rsidR="00726CD3" w:rsidRDefault="00726CD3" w:rsidP="008B3A59">
      <w:pPr>
        <w:ind w:firstLine="720"/>
        <w:jc w:val="both"/>
        <w:rPr>
          <w:rFonts w:ascii="Times New Roman" w:hAnsi="Times New Roman" w:cs="Times New Roman"/>
          <w:sz w:val="28"/>
          <w:szCs w:val="28"/>
        </w:rPr>
      </w:pPr>
    </w:p>
    <w:p w:rsidR="00027B5B" w:rsidRDefault="00027B5B" w:rsidP="008B3A59">
      <w:pPr>
        <w:ind w:firstLine="720"/>
        <w:jc w:val="both"/>
        <w:rPr>
          <w:rFonts w:ascii="Times New Roman" w:hAnsi="Times New Roman" w:cs="Times New Roman"/>
          <w:sz w:val="28"/>
          <w:szCs w:val="28"/>
        </w:rPr>
      </w:pPr>
    </w:p>
    <w:p w:rsidR="00B34391" w:rsidRDefault="008B3A59" w:rsidP="008B3A59">
      <w:pPr>
        <w:ind w:firstLine="720"/>
        <w:jc w:val="both"/>
        <w:rPr>
          <w:rFonts w:ascii="Times New Roman" w:hAnsi="Times New Roman" w:cs="Times New Roman"/>
          <w:b/>
          <w:bCs/>
          <w:sz w:val="28"/>
          <w:szCs w:val="28"/>
        </w:rPr>
      </w:pPr>
      <w:r>
        <w:rPr>
          <w:rFonts w:ascii="Times New Roman" w:hAnsi="Times New Roman" w:cs="Times New Roman"/>
          <w:sz w:val="28"/>
          <w:szCs w:val="28"/>
          <w:lang w:val="kk-KZ"/>
        </w:rPr>
        <w:lastRenderedPageBreak/>
        <w:t xml:space="preserve"> </w:t>
      </w:r>
      <w:r>
        <w:rPr>
          <w:rFonts w:ascii="Times New Roman" w:hAnsi="Times New Roman" w:cs="Times New Roman"/>
          <w:b/>
          <w:bCs/>
          <w:sz w:val="28"/>
          <w:szCs w:val="28"/>
        </w:rPr>
        <w:t xml:space="preserve"> </w:t>
      </w:r>
      <w:proofErr w:type="gramStart"/>
      <w:r w:rsidRPr="00403DFD">
        <w:rPr>
          <w:rFonts w:ascii="Times New Roman" w:hAnsi="Times New Roman" w:cs="Times New Roman"/>
          <w:b/>
          <w:bCs/>
          <w:sz w:val="28"/>
          <w:szCs w:val="28"/>
        </w:rPr>
        <w:t>SOURCES OF FORMATION, COMPOSITION AND CLASSIFICATION, COMPOSITION AND CLASSIFICATION OF WASTES.</w:t>
      </w:r>
      <w:proofErr w:type="gramEnd"/>
    </w:p>
    <w:p w:rsidR="006834D3" w:rsidRPr="00A1302B" w:rsidRDefault="006834D3" w:rsidP="009C6833">
      <w:pPr>
        <w:numPr>
          <w:ilvl w:val="0"/>
          <w:numId w:val="20"/>
        </w:numPr>
        <w:jc w:val="both"/>
        <w:rPr>
          <w:rFonts w:ascii="Times New Roman" w:hAnsi="Times New Roman" w:cs="Times New Roman"/>
          <w:i/>
          <w:iCs/>
          <w:sz w:val="28"/>
          <w:szCs w:val="28"/>
        </w:rPr>
      </w:pPr>
      <w:r w:rsidRPr="00A1302B">
        <w:rPr>
          <w:rFonts w:ascii="Times New Roman" w:hAnsi="Times New Roman" w:cs="Times New Roman"/>
          <w:i/>
          <w:iCs/>
          <w:sz w:val="28"/>
          <w:szCs w:val="28"/>
        </w:rPr>
        <w:t>System Type</w:t>
      </w:r>
    </w:p>
    <w:p w:rsidR="006834D3" w:rsidRPr="00A1302B" w:rsidRDefault="006834D3" w:rsidP="009C6833">
      <w:pPr>
        <w:numPr>
          <w:ilvl w:val="0"/>
          <w:numId w:val="20"/>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Organic Compounds </w:t>
      </w:r>
    </w:p>
    <w:p w:rsidR="006834D3" w:rsidRPr="00A1302B" w:rsidRDefault="006834D3" w:rsidP="009C6833">
      <w:pPr>
        <w:numPr>
          <w:ilvl w:val="0"/>
          <w:numId w:val="20"/>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Pathogens - These include protozoa </w:t>
      </w:r>
    </w:p>
    <w:p w:rsidR="00A1302B" w:rsidRPr="00A1302B" w:rsidRDefault="00A1302B" w:rsidP="00A1302B">
      <w:pPr>
        <w:ind w:firstLine="720"/>
        <w:jc w:val="both"/>
        <w:rPr>
          <w:rFonts w:ascii="Times New Roman" w:hAnsi="Times New Roman" w:cs="Times New Roman"/>
          <w:i/>
          <w:iCs/>
          <w:sz w:val="28"/>
          <w:szCs w:val="28"/>
        </w:rPr>
      </w:pPr>
      <w:r w:rsidRPr="00A1302B">
        <w:rPr>
          <w:rFonts w:ascii="Times New Roman" w:hAnsi="Times New Roman" w:cs="Times New Roman"/>
          <w:i/>
          <w:iCs/>
          <w:sz w:val="28"/>
          <w:szCs w:val="28"/>
        </w:rPr>
        <w:t>System Type</w:t>
      </w:r>
    </w:p>
    <w:p w:rsidR="00B34391" w:rsidRPr="00B34391" w:rsidRDefault="00B34391" w:rsidP="006834D3">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When we refer to water purification, it makes little sense to discuss the subject without first identifying the contaminants that we wish to remove from water. Also, the source of the water is of importance. Our discussion at this point focuses on drinking water. Groundwater sources are of a particular concern, because there are many communities throughout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that rely on this form. The following are some of the major contaminants that are of concern in water purification applications, as applied to drinking water sources, derived from groundwater.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Heavy Metals - Heavy metals represent problems in terms of groundwater pollution. The best way to identify their presence is by a lab test of the water or by contacting county health departments. There are concerns of chronic exposure to low levels of heavy metals in drinking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Turbidity - Turbidity refers to suspended solids, i.e. muddy water, is very turbid. Turbidity is undesirable for three reasons:</w:t>
      </w:r>
    </w:p>
    <w:p w:rsidR="00B34391" w:rsidRPr="00B34391" w:rsidRDefault="00B34391" w:rsidP="00B34391">
      <w:pPr>
        <w:ind w:firstLine="720"/>
        <w:jc w:val="both"/>
        <w:rPr>
          <w:rFonts w:ascii="Times New Roman" w:hAnsi="Times New Roman" w:cs="Times New Roman"/>
          <w:sz w:val="28"/>
          <w:szCs w:val="28"/>
        </w:rPr>
      </w:pPr>
      <w:proofErr w:type="gramStart"/>
      <w:r w:rsidRPr="00B34391">
        <w:rPr>
          <w:rFonts w:ascii="Times New Roman" w:hAnsi="Times New Roman" w:cs="Times New Roman"/>
          <w:sz w:val="28"/>
          <w:szCs w:val="28"/>
        </w:rPr>
        <w:t>aesthetic</w:t>
      </w:r>
      <w:proofErr w:type="gramEnd"/>
      <w:r w:rsidRPr="00B34391">
        <w:rPr>
          <w:rFonts w:ascii="Times New Roman" w:hAnsi="Times New Roman" w:cs="Times New Roman"/>
          <w:sz w:val="28"/>
          <w:szCs w:val="28"/>
        </w:rPr>
        <w:t xml:space="preserve"> considerations,</w:t>
      </w:r>
    </w:p>
    <w:p w:rsidR="00B34391" w:rsidRPr="00B34391" w:rsidRDefault="00B34391" w:rsidP="00B34391">
      <w:pPr>
        <w:ind w:firstLine="720"/>
        <w:jc w:val="both"/>
        <w:rPr>
          <w:rFonts w:ascii="Times New Roman" w:hAnsi="Times New Roman" w:cs="Times New Roman"/>
          <w:sz w:val="28"/>
          <w:szCs w:val="28"/>
        </w:rPr>
      </w:pPr>
      <w:proofErr w:type="gramStart"/>
      <w:r w:rsidRPr="00B34391">
        <w:rPr>
          <w:rFonts w:ascii="Times New Roman" w:hAnsi="Times New Roman" w:cs="Times New Roman"/>
          <w:sz w:val="28"/>
          <w:szCs w:val="28"/>
        </w:rPr>
        <w:t>solids</w:t>
      </w:r>
      <w:proofErr w:type="gramEnd"/>
      <w:r w:rsidRPr="00B34391">
        <w:rPr>
          <w:rFonts w:ascii="Times New Roman" w:hAnsi="Times New Roman" w:cs="Times New Roman"/>
          <w:sz w:val="28"/>
          <w:szCs w:val="28"/>
        </w:rPr>
        <w:t xml:space="preserve"> may contain heavy metals, pathogens or other contaminants,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turbidity decreases the effectiveness of water treatment techniques by shielding pathogens from chemical or thermal damage, or in the case of UV (ultra violet) treatment, absorbing the UV light itself.</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Organic Compounds</w:t>
      </w:r>
      <w:r w:rsidRPr="00B34391">
        <w:rPr>
          <w:rFonts w:ascii="Times New Roman" w:hAnsi="Times New Roman" w:cs="Times New Roman"/>
          <w:sz w:val="28"/>
          <w:szCs w:val="28"/>
        </w:rPr>
        <w:t xml:space="preserve"> - Water can be contaminated by a number of organic compounds, such as chloroform, gasoline, pesticides, and herbicides from a variety of industrial and agricultural operations or applications. These contaminants must be identified in a lab test. It is unlikely groundwater will suddenly become contaminated, unless a quantity of chemicals is allowed to enter a well or penetrating the aquifer. One exception is when the aquifer is located in limestone. Not only will water flow faster through limestone, but the rock is prone to forming vertical channels or sinkholes that will rapidly allow contamination from surface water. Surface water may show great variations in chemical contamination levels due to differences in rainfall, seasonal crop cultivation, and industrial effluent levels. Also, some hydrocarbons (the chlorinated hydrocarbons in particular) form a type of contaminant that is especially troublesome. These are a group of chemicals known as dense nonaqueous phase liquids, or DNAPLs. These include chemicals used in dry cleaning, wood preservation, asphalt operations, machining, and in the production and repair of automobiles, aviation equipment, munitions, and electrical equipment. These substances are heavier than water and they sink quickly into the ground. This makes spills of DNAPLs more difficult to handle than spills of petroleum products. As with petroleum products, the problems are caused by groundwater dissolving some of the compounds in these volatile </w:t>
      </w:r>
      <w:r w:rsidRPr="00B34391">
        <w:rPr>
          <w:rFonts w:ascii="Times New Roman" w:hAnsi="Times New Roman" w:cs="Times New Roman"/>
          <w:sz w:val="28"/>
          <w:szCs w:val="28"/>
        </w:rPr>
        <w:lastRenderedPageBreak/>
        <w:t>substances. These compounds can then move with the groundwater flow. Except in large cities, drinking water is rarely tested for these contaminants. Disposal of chemicals that have low water solubility and a density greater than water result in the formation of distinct areas of pure residual contamination in soils and groundwater. These chemicals are typically solvents and are collectively referred to as Dense Non- Aqueous Phase Liquids (DNAPLs). Because of their relatively high density, they tend to move downward through soils and groundwater, leaving small amounts along the migratory pathway, until they reach an impermeable layer where they collect in discrete pools. Once the DNAPLs have reached an aquitard they tend to move laterally under the influence of gravity and to slowly dissolve into the groundwater, providing a long-term source for low level contamination of groundwater. Because of their movement patterns DNAPL contamination is difficult to detect, characterize and remediate.</w:t>
      </w:r>
    </w:p>
    <w:p w:rsidR="00B34391" w:rsidRPr="00B34391" w:rsidRDefault="006834D3" w:rsidP="006834D3">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Organic Compounds </w:t>
      </w:r>
      <w:r w:rsidR="00B34391" w:rsidRPr="00B34391">
        <w:rPr>
          <w:rFonts w:ascii="Times New Roman" w:hAnsi="Times New Roman" w:cs="Times New Roman"/>
          <w:sz w:val="28"/>
          <w:szCs w:val="28"/>
        </w:rPr>
        <w:t xml:space="preserve">Pathogens - These include protozoa, bacteria, and viruses. Protozoa cysts are the largest pathogens in drinking water, and are responsible for many of the waterborne disease cases in the U.S. Protozoa cysts range is size from 2 to 15 jtm (a micron is one millionth of a meter), but can squeeze through smaller openings. In order to insure cyst filtration, filters with </w:t>
      </w:r>
      <w:proofErr w:type="gramStart"/>
      <w:r w:rsidR="00B34391" w:rsidRPr="00B34391">
        <w:rPr>
          <w:rFonts w:ascii="Times New Roman" w:hAnsi="Times New Roman" w:cs="Times New Roman"/>
          <w:sz w:val="28"/>
          <w:szCs w:val="28"/>
        </w:rPr>
        <w:t>a</w:t>
      </w:r>
      <w:proofErr w:type="gramEnd"/>
      <w:r w:rsidR="00B34391" w:rsidRPr="00B34391">
        <w:rPr>
          <w:rFonts w:ascii="Times New Roman" w:hAnsi="Times New Roman" w:cs="Times New Roman"/>
          <w:sz w:val="28"/>
          <w:szCs w:val="28"/>
        </w:rPr>
        <w:t xml:space="preserve"> absolute pore size of ljtm or less should be used. The two most common protozoa pathogens are Giardia lamblia (Giardia) and Cryptosporidium (Crypto). Both organisms have caused numerous deaths in recent years in the </w:t>
      </w:r>
      <w:smartTag w:uri="urn:schemas-microsoft-com:office:smarttags" w:element="country-region">
        <w:r w:rsidR="00B34391" w:rsidRPr="00B34391">
          <w:rPr>
            <w:rFonts w:ascii="Times New Roman" w:hAnsi="Times New Roman" w:cs="Times New Roman"/>
            <w:sz w:val="28"/>
            <w:szCs w:val="28"/>
          </w:rPr>
          <w:t>U.S.</w:t>
        </w:r>
      </w:smartTag>
      <w:r w:rsidR="00B34391" w:rsidRPr="00B34391">
        <w:rPr>
          <w:rFonts w:ascii="Times New Roman" w:hAnsi="Times New Roman" w:cs="Times New Roman"/>
          <w:sz w:val="28"/>
          <w:szCs w:val="28"/>
        </w:rPr>
        <w:t xml:space="preserve"> and </w:t>
      </w:r>
      <w:smartTag w:uri="urn:schemas-microsoft-com:office:smarttags" w:element="place">
        <w:smartTag w:uri="urn:schemas-microsoft-com:office:smarttags" w:element="country-region">
          <w:r w:rsidR="00B34391" w:rsidRPr="00B34391">
            <w:rPr>
              <w:rFonts w:ascii="Times New Roman" w:hAnsi="Times New Roman" w:cs="Times New Roman"/>
              <w:sz w:val="28"/>
              <w:szCs w:val="28"/>
            </w:rPr>
            <w:t>Canada</w:t>
          </w:r>
        </w:smartTag>
      </w:smartTag>
      <w:r w:rsidR="00B34391" w:rsidRPr="00B34391">
        <w:rPr>
          <w:rFonts w:ascii="Times New Roman" w:hAnsi="Times New Roman" w:cs="Times New Roman"/>
          <w:sz w:val="28"/>
          <w:szCs w:val="28"/>
        </w:rPr>
        <w:t xml:space="preserve">, the deaths occurring in the young and elderly, and the sick and immune compromised. Many deaths were a result of more than one of these conditions. Neither disease is likely to be fatal to a healthy adult, even if untreated. For example in Milwaukee in April of 1993, of 400,000 who were diagnosed with Crypto, only 54 deaths were linked to the outbreak, 84% of whom were AIDS patients. Outside of the </w:t>
      </w:r>
      <w:smartTag w:uri="urn:schemas-microsoft-com:office:smarttags" w:element="country-region">
        <w:r w:rsidR="00B34391" w:rsidRPr="00B34391">
          <w:rPr>
            <w:rFonts w:ascii="Times New Roman" w:hAnsi="Times New Roman" w:cs="Times New Roman"/>
            <w:sz w:val="28"/>
            <w:szCs w:val="28"/>
          </w:rPr>
          <w:t>U.S.</w:t>
        </w:r>
      </w:smartTag>
      <w:r w:rsidR="00B34391" w:rsidRPr="00B34391">
        <w:rPr>
          <w:rFonts w:ascii="Times New Roman" w:hAnsi="Times New Roman" w:cs="Times New Roman"/>
          <w:sz w:val="28"/>
          <w:szCs w:val="28"/>
        </w:rPr>
        <w:t xml:space="preserve"> and other developed countries, protozoa are responsible for many cases of amoebic dysentery, but so far this has not been a problem in the </w:t>
      </w:r>
      <w:smartTag w:uri="urn:schemas-microsoft-com:office:smarttags" w:element="place">
        <w:smartTag w:uri="urn:schemas-microsoft-com:office:smarttags" w:element="country-region">
          <w:r w:rsidR="00B34391" w:rsidRPr="00B34391">
            <w:rPr>
              <w:rFonts w:ascii="Times New Roman" w:hAnsi="Times New Roman" w:cs="Times New Roman"/>
              <w:sz w:val="28"/>
              <w:szCs w:val="28"/>
            </w:rPr>
            <w:t>U.S.</w:t>
          </w:r>
        </w:smartTag>
      </w:smartTag>
      <w:r w:rsidR="00B34391" w:rsidRPr="00B34391">
        <w:rPr>
          <w:rFonts w:ascii="Times New Roman" w:hAnsi="Times New Roman" w:cs="Times New Roman"/>
          <w:sz w:val="28"/>
          <w:szCs w:val="28"/>
        </w:rPr>
        <w:t>, due to the application of more advanced wastewater treatment technologies. This could change during a survival situation. Tests have found Giardia and/or Crypto in up to 5% of vertical wells and 26% of springs in</w:t>
      </w:r>
    </w:p>
    <w:p w:rsidR="00A1302B" w:rsidRPr="00A1302B" w:rsidRDefault="00A1302B" w:rsidP="00A1302B">
      <w:pPr>
        <w:jc w:val="both"/>
        <w:rPr>
          <w:rFonts w:ascii="Times New Roman" w:hAnsi="Times New Roman" w:cs="Times New Roman"/>
          <w:i/>
          <w:iCs/>
          <w:sz w:val="28"/>
          <w:szCs w:val="28"/>
          <w:lang w:val="kk-KZ"/>
        </w:rPr>
      </w:pPr>
      <w:r>
        <w:rPr>
          <w:rFonts w:ascii="Times New Roman" w:hAnsi="Times New Roman" w:cs="Times New Roman"/>
          <w:i/>
          <w:iCs/>
          <w:sz w:val="28"/>
          <w:szCs w:val="28"/>
        </w:rPr>
        <w:t xml:space="preserve">           </w:t>
      </w:r>
      <w:r w:rsidRPr="00A1302B">
        <w:rPr>
          <w:rFonts w:ascii="Times New Roman" w:hAnsi="Times New Roman" w:cs="Times New Roman"/>
          <w:i/>
          <w:iCs/>
          <w:sz w:val="28"/>
          <w:szCs w:val="28"/>
        </w:rPr>
        <w:t xml:space="preserve">Pathogens - These include protozoa </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Bacteria are smaller than protozoa and are responsible for many diseases, such as typhoid fever, cholera, diarrhea, and dysentery. Pathogenic bacteria range in size from 0.2 to 0.6 ftm, and a 0.2 fim filter is necessary to prevent transmission. Contamination of water supplies by bacteria is blamed for the cholera epidemics, which devastate undeveloped countries from time to time. Even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E. coli is frequently found to contaminated water supplies. Fortunately, E. coli is relatively harmless as pathogens go, and the problem isn't so much with E. coli found, but the fear that other bacteria may have contaminated the water as well. Never the less, dehydration from diarrhea caused by E. coli has resulted in fatalities.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One of hundreds of strains of the bacterium Escherichia coli, E. coli 0157:H7 is an emerging cause of food borne and waterborne illness. Although most strains of E. coli are harmless and live in the intestines of healthy humans and </w:t>
      </w:r>
      <w:r w:rsidRPr="00B34391">
        <w:rPr>
          <w:rFonts w:ascii="Times New Roman" w:hAnsi="Times New Roman" w:cs="Times New Roman"/>
          <w:sz w:val="28"/>
          <w:szCs w:val="28"/>
        </w:rPr>
        <w:lastRenderedPageBreak/>
        <w:t xml:space="preserve">animals, this strain produces a powerful toxin and can cause severe illness. E. coli 0157:H7 was first recognized as a cause of illness during an outbreak in 1982 traced to contaminated hamburgers. Since then, most infections are believed to have come from eating undercooked ground beef. However, some have been waterborne. The presence of E. coli in water is a strong indication of recent sewage or animal waste contamination. Sewage may contain many types of disease-causing organisms. Since E. coli comes from human and animal wastes, it most often enters drinking water sources via rainfalls, snow melts, or other types of precipitation, E. coli may be washed into creeks, rivers, streams, lakes, or groundwater. When these waters are used as sources of drinking water and the water is not treated or inadequately treated, E. coli may end up in drinking water. E. coli 0157:H7 is one of hundreds of strains of the bacterium E. coli. Although most strains are harmless and live in the intestines of healthy humans and animals, this strain produces a powerful toxin and can cause severe illness. Infection often causes severe bloody diarrhea and abdominal cramps; sometimes the infection causes non-bloody diarrhea. Frequently, no fever is present. It should be noted that these symptoms are common to a variety of diseases, and may be caused by sources other than contaminated drinking water. In some people, particularly children under 5 years of age and the elderly, the infection can also cause a complication, called hemolytic uremic syndrome, in which the red blood cells are destroyed and the kidneys fail. About 2%-7% of infections lead to this complication.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hemolytic uremic syndrome is the principal cause of acute kidney failure in children, and most cases of hemolytic uremic syndrome are caused by E. coli 0157:H7. Hemolytic uremic syndrome is a life-threatening condition usually treated in an intensive care unit. Blood transfusions and kidney dialysis are often required. With intensive care, the death rate for hemolytic uremic syndrome is 3%-5%. Symptoms usually appear within 2 to 4 days, but can take up to 8 days. </w:t>
      </w:r>
    </w:p>
    <w:p w:rsidR="0006638E" w:rsidRDefault="0006638E" w:rsidP="0006638E">
      <w:pPr>
        <w:pStyle w:val="af1"/>
        <w:rPr>
          <w:rFonts w:ascii="Times New Roman" w:hAnsi="Times New Roman" w:cs="Times New Roman"/>
        </w:rPr>
      </w:pPr>
    </w:p>
    <w:p w:rsidR="0006638E" w:rsidRPr="00041C49" w:rsidRDefault="0006638E" w:rsidP="0006638E">
      <w:pPr>
        <w:pStyle w:val="af1"/>
        <w:rPr>
          <w:rFonts w:ascii="Times New Roman" w:hAnsi="Times New Roman" w:cs="Times New Roman"/>
        </w:rPr>
      </w:pPr>
      <w:r w:rsidRPr="00041C49">
        <w:rPr>
          <w:rFonts w:ascii="Times New Roman" w:hAnsi="Times New Roman" w:cs="Times New Roman"/>
        </w:rPr>
        <w:t>QUESTIONS FOR THINKING AND DISCUSSING</w:t>
      </w:r>
    </w:p>
    <w:p w:rsidR="0006638E" w:rsidRPr="00041C49" w:rsidRDefault="0006638E" w:rsidP="009C6833">
      <w:pPr>
        <w:pStyle w:val="af1"/>
        <w:numPr>
          <w:ilvl w:val="0"/>
          <w:numId w:val="4"/>
        </w:numPr>
        <w:rPr>
          <w:rFonts w:ascii="Times New Roman" w:hAnsi="Times New Roman" w:cs="Times New Roman"/>
        </w:rPr>
      </w:pPr>
      <w:r w:rsidRPr="00041C49">
        <w:rPr>
          <w:rFonts w:ascii="Times New Roman" w:hAnsi="Times New Roman" w:cs="Times New Roman"/>
        </w:rPr>
        <w:t>Define the terms MCLG and TT.</w:t>
      </w:r>
    </w:p>
    <w:p w:rsidR="0006638E" w:rsidRPr="00041C49" w:rsidRDefault="0006638E" w:rsidP="009C6833">
      <w:pPr>
        <w:pStyle w:val="af1"/>
        <w:numPr>
          <w:ilvl w:val="0"/>
          <w:numId w:val="4"/>
        </w:numPr>
        <w:rPr>
          <w:rFonts w:ascii="Times New Roman" w:hAnsi="Times New Roman" w:cs="Times New Roman"/>
        </w:rPr>
      </w:pPr>
      <w:r w:rsidRPr="00041C49">
        <w:rPr>
          <w:rFonts w:ascii="Times New Roman" w:hAnsi="Times New Roman" w:cs="Times New Roman"/>
        </w:rPr>
        <w:t>Explain the process by which EPA established drinking water quality discharge standards.</w:t>
      </w:r>
    </w:p>
    <w:p w:rsidR="0006638E" w:rsidRPr="00041C49" w:rsidRDefault="0006638E" w:rsidP="009C6833">
      <w:pPr>
        <w:pStyle w:val="af1"/>
        <w:numPr>
          <w:ilvl w:val="0"/>
          <w:numId w:val="4"/>
        </w:numPr>
        <w:rPr>
          <w:rFonts w:ascii="Times New Roman" w:hAnsi="Times New Roman" w:cs="Times New Roman"/>
        </w:rPr>
      </w:pPr>
      <w:r w:rsidRPr="00041C49">
        <w:rPr>
          <w:rFonts w:ascii="Times New Roman" w:hAnsi="Times New Roman" w:cs="Times New Roman"/>
        </w:rPr>
        <w:t>List the categories of pollutants that the NPDW Regulations address.</w:t>
      </w:r>
    </w:p>
    <w:p w:rsidR="009101BA" w:rsidRPr="006376E4" w:rsidRDefault="009101BA" w:rsidP="00027B5B">
      <w:pPr>
        <w:ind w:firstLine="724"/>
        <w:jc w:val="center"/>
        <w:rPr>
          <w:rFonts w:ascii="Times New Roman" w:hAnsi="Times New Roman" w:cs="Times New Roman"/>
          <w:b/>
          <w:bCs/>
          <w:sz w:val="28"/>
          <w:szCs w:val="28"/>
        </w:rPr>
      </w:pPr>
      <w:bookmarkStart w:id="4" w:name="bookmark16"/>
    </w:p>
    <w:p w:rsidR="009101BA" w:rsidRPr="006376E4" w:rsidRDefault="009101BA" w:rsidP="00027B5B">
      <w:pPr>
        <w:ind w:firstLine="724"/>
        <w:jc w:val="center"/>
        <w:rPr>
          <w:rFonts w:ascii="Times New Roman" w:hAnsi="Times New Roman" w:cs="Times New Roman"/>
          <w:b/>
          <w:bCs/>
          <w:sz w:val="28"/>
          <w:szCs w:val="28"/>
        </w:rPr>
      </w:pPr>
    </w:p>
    <w:p w:rsidR="009101BA" w:rsidRPr="006376E4" w:rsidRDefault="009101BA" w:rsidP="00027B5B">
      <w:pPr>
        <w:ind w:firstLine="724"/>
        <w:jc w:val="center"/>
        <w:rPr>
          <w:rFonts w:ascii="Times New Roman" w:hAnsi="Times New Roman" w:cs="Times New Roman"/>
          <w:b/>
          <w:bCs/>
          <w:sz w:val="28"/>
          <w:szCs w:val="28"/>
        </w:rPr>
      </w:pPr>
    </w:p>
    <w:p w:rsidR="009101BA" w:rsidRPr="006376E4" w:rsidRDefault="009101BA" w:rsidP="00027B5B">
      <w:pPr>
        <w:ind w:firstLine="724"/>
        <w:jc w:val="center"/>
        <w:rPr>
          <w:rFonts w:ascii="Times New Roman" w:hAnsi="Times New Roman" w:cs="Times New Roman"/>
          <w:b/>
          <w:bCs/>
          <w:sz w:val="28"/>
          <w:szCs w:val="28"/>
        </w:rPr>
      </w:pPr>
    </w:p>
    <w:p w:rsidR="008872CD" w:rsidRPr="006376E4" w:rsidRDefault="008872CD" w:rsidP="00027B5B">
      <w:pPr>
        <w:ind w:firstLine="724"/>
        <w:jc w:val="center"/>
        <w:rPr>
          <w:rFonts w:ascii="Times New Roman" w:hAnsi="Times New Roman" w:cs="Times New Roman"/>
          <w:b/>
          <w:bCs/>
          <w:sz w:val="28"/>
          <w:szCs w:val="28"/>
        </w:rPr>
      </w:pPr>
    </w:p>
    <w:p w:rsidR="008872CD" w:rsidRPr="006376E4" w:rsidRDefault="008872CD" w:rsidP="00027B5B">
      <w:pPr>
        <w:ind w:firstLine="724"/>
        <w:jc w:val="center"/>
        <w:rPr>
          <w:rFonts w:ascii="Times New Roman" w:hAnsi="Times New Roman" w:cs="Times New Roman"/>
          <w:b/>
          <w:bCs/>
          <w:sz w:val="28"/>
          <w:szCs w:val="28"/>
        </w:rPr>
      </w:pPr>
    </w:p>
    <w:p w:rsidR="008872CD" w:rsidRPr="006376E4" w:rsidRDefault="008872CD" w:rsidP="00027B5B">
      <w:pPr>
        <w:ind w:firstLine="724"/>
        <w:jc w:val="center"/>
        <w:rPr>
          <w:rFonts w:ascii="Times New Roman" w:hAnsi="Times New Roman" w:cs="Times New Roman"/>
          <w:b/>
          <w:bCs/>
          <w:sz w:val="28"/>
          <w:szCs w:val="28"/>
        </w:rPr>
      </w:pPr>
    </w:p>
    <w:p w:rsidR="009101BA" w:rsidRDefault="009101BA" w:rsidP="00027B5B">
      <w:pPr>
        <w:ind w:firstLine="724"/>
        <w:jc w:val="center"/>
        <w:rPr>
          <w:rFonts w:ascii="Times New Roman" w:hAnsi="Times New Roman" w:cs="Times New Roman"/>
          <w:b/>
          <w:bCs/>
          <w:sz w:val="28"/>
          <w:szCs w:val="28"/>
        </w:rPr>
      </w:pPr>
    </w:p>
    <w:p w:rsidR="00DC55A4" w:rsidRPr="00DC55A4" w:rsidRDefault="00DC55A4" w:rsidP="00027B5B">
      <w:pPr>
        <w:ind w:firstLine="724"/>
        <w:jc w:val="center"/>
        <w:rPr>
          <w:rFonts w:ascii="Times New Roman" w:hAnsi="Times New Roman" w:cs="Times New Roman"/>
          <w:b/>
          <w:bCs/>
          <w:sz w:val="28"/>
          <w:szCs w:val="28"/>
        </w:rPr>
      </w:pPr>
    </w:p>
    <w:p w:rsidR="009101BA" w:rsidRPr="006376E4" w:rsidRDefault="009101BA" w:rsidP="00027B5B">
      <w:pPr>
        <w:ind w:firstLine="724"/>
        <w:jc w:val="center"/>
        <w:rPr>
          <w:rFonts w:ascii="Times New Roman" w:hAnsi="Times New Roman" w:cs="Times New Roman"/>
          <w:b/>
          <w:bCs/>
          <w:sz w:val="28"/>
          <w:szCs w:val="28"/>
        </w:rPr>
      </w:pPr>
    </w:p>
    <w:p w:rsidR="009101BA" w:rsidRPr="006376E4" w:rsidRDefault="009101BA" w:rsidP="00027B5B">
      <w:pPr>
        <w:ind w:firstLine="724"/>
        <w:jc w:val="center"/>
        <w:rPr>
          <w:rFonts w:ascii="Times New Roman" w:hAnsi="Times New Roman" w:cs="Times New Roman"/>
          <w:b/>
          <w:bCs/>
          <w:sz w:val="28"/>
          <w:szCs w:val="28"/>
        </w:rPr>
      </w:pPr>
    </w:p>
    <w:p w:rsidR="009101BA" w:rsidRPr="006376E4" w:rsidRDefault="009101BA" w:rsidP="00027B5B">
      <w:pPr>
        <w:ind w:firstLine="724"/>
        <w:jc w:val="center"/>
        <w:rPr>
          <w:rFonts w:ascii="Times New Roman" w:hAnsi="Times New Roman" w:cs="Times New Roman"/>
          <w:b/>
          <w:bCs/>
          <w:sz w:val="28"/>
          <w:szCs w:val="28"/>
        </w:rPr>
      </w:pPr>
    </w:p>
    <w:p w:rsidR="00027B5B" w:rsidRPr="00027B5B" w:rsidRDefault="00027B5B" w:rsidP="00027B5B">
      <w:pPr>
        <w:ind w:firstLine="724"/>
        <w:jc w:val="center"/>
        <w:rPr>
          <w:rFonts w:ascii="Times New Roman" w:hAnsi="Times New Roman" w:cs="Times New Roman"/>
          <w:b/>
          <w:bCs/>
          <w:sz w:val="28"/>
          <w:szCs w:val="28"/>
        </w:rPr>
      </w:pPr>
      <w:r w:rsidRPr="00027B5B">
        <w:rPr>
          <w:rFonts w:ascii="Times New Roman" w:hAnsi="Times New Roman" w:cs="Times New Roman"/>
          <w:b/>
          <w:bCs/>
          <w:sz w:val="28"/>
          <w:szCs w:val="28"/>
        </w:rPr>
        <w:lastRenderedPageBreak/>
        <w:t>TREATMENT OF INDUSTRIAL WASTEWATER   BY ELECTROCHEMICAL TECHNOLOGIES</w:t>
      </w:r>
    </w:p>
    <w:p w:rsidR="00027B5B" w:rsidRPr="00027B5B" w:rsidRDefault="00027B5B" w:rsidP="00027B5B">
      <w:pPr>
        <w:ind w:firstLine="724"/>
        <w:jc w:val="center"/>
        <w:rPr>
          <w:rFonts w:ascii="Times New Roman" w:hAnsi="Times New Roman" w:cs="Times New Roman"/>
          <w:sz w:val="28"/>
          <w:szCs w:val="28"/>
        </w:rPr>
      </w:pPr>
    </w:p>
    <w:p w:rsidR="00027B5B" w:rsidRPr="00027B5B" w:rsidRDefault="00027B5B" w:rsidP="00027B5B">
      <w:pPr>
        <w:ind w:firstLine="724"/>
        <w:jc w:val="both"/>
        <w:rPr>
          <w:rFonts w:ascii="Times New Roman" w:hAnsi="Times New Roman" w:cs="Times New Roman"/>
          <w:sz w:val="28"/>
          <w:szCs w:val="28"/>
        </w:rPr>
      </w:pPr>
      <w:r w:rsidRPr="00027B5B">
        <w:rPr>
          <w:rFonts w:ascii="Times New Roman" w:hAnsi="Times New Roman" w:cs="Times New Roman"/>
          <w:sz w:val="28"/>
          <w:szCs w:val="28"/>
        </w:rPr>
        <w:t xml:space="preserve">Using electricity to treat water was first proposed in </w:t>
      </w:r>
      <w:smartTag w:uri="urn:schemas-microsoft-com:office:smarttags" w:element="country-region">
        <w:smartTag w:uri="urn:schemas-microsoft-com:office:smarttags" w:element="place">
          <w:r w:rsidRPr="00027B5B">
            <w:rPr>
              <w:rFonts w:ascii="Times New Roman" w:hAnsi="Times New Roman" w:cs="Times New Roman"/>
              <w:sz w:val="28"/>
              <w:szCs w:val="28"/>
            </w:rPr>
            <w:t>UK</w:t>
          </w:r>
        </w:smartTag>
      </w:smartTag>
      <w:r w:rsidRPr="00027B5B">
        <w:rPr>
          <w:rFonts w:ascii="Times New Roman" w:hAnsi="Times New Roman" w:cs="Times New Roman"/>
          <w:sz w:val="28"/>
          <w:szCs w:val="28"/>
        </w:rPr>
        <w:t xml:space="preserve"> in 1889</w:t>
      </w:r>
      <w:hyperlink w:anchor="bookmark54" w:tooltip="Current Document" w:history="1">
        <w:r w:rsidRPr="00027B5B">
          <w:rPr>
            <w:rFonts w:ascii="Times New Roman" w:hAnsi="Times New Roman" w:cs="Times New Roman"/>
            <w:sz w:val="28"/>
            <w:szCs w:val="28"/>
          </w:rPr>
          <w:t xml:space="preserve"> [1]. </w:t>
        </w:r>
      </w:hyperlink>
      <w:r w:rsidRPr="00027B5B">
        <w:rPr>
          <w:rFonts w:ascii="Times New Roman" w:hAnsi="Times New Roman" w:cs="Times New Roman"/>
          <w:sz w:val="28"/>
          <w:szCs w:val="28"/>
        </w:rPr>
        <w:t xml:space="preserve">The application of electrolysis in mineral beneficiation was patented by Elmore in 1904 </w:t>
      </w:r>
      <w:hyperlink w:anchor="bookmark75" w:tooltip="Current Document" w:history="1">
        <w:r w:rsidRPr="00027B5B">
          <w:rPr>
            <w:rFonts w:ascii="Times New Roman" w:hAnsi="Times New Roman" w:cs="Times New Roman"/>
            <w:sz w:val="28"/>
            <w:szCs w:val="28"/>
          </w:rPr>
          <w:t xml:space="preserve">[2]. </w:t>
        </w:r>
      </w:hyperlink>
      <w:r w:rsidRPr="00027B5B">
        <w:rPr>
          <w:rFonts w:ascii="Times New Roman" w:hAnsi="Times New Roman" w:cs="Times New Roman"/>
          <w:sz w:val="28"/>
          <w:szCs w:val="28"/>
        </w:rPr>
        <w:t xml:space="preserve">Electrocoagulation (EC) with aluminum and iron electrodes was patented in the </w:t>
      </w:r>
      <w:smartTag w:uri="urn:schemas-microsoft-com:office:smarttags" w:element="country-region">
        <w:smartTag w:uri="urn:schemas-microsoft-com:office:smarttags" w:element="place">
          <w:r w:rsidRPr="00027B5B">
            <w:rPr>
              <w:rFonts w:ascii="Times New Roman" w:hAnsi="Times New Roman" w:cs="Times New Roman"/>
              <w:sz w:val="28"/>
              <w:szCs w:val="28"/>
            </w:rPr>
            <w:t>US</w:t>
          </w:r>
        </w:smartTag>
      </w:smartTag>
      <w:r w:rsidRPr="00027B5B">
        <w:rPr>
          <w:rFonts w:ascii="Times New Roman" w:hAnsi="Times New Roman" w:cs="Times New Roman"/>
          <w:sz w:val="28"/>
          <w:szCs w:val="28"/>
        </w:rPr>
        <w:t xml:space="preserve"> in 1909. The elec</w:t>
      </w:r>
      <w:r w:rsidRPr="00027B5B">
        <w:rPr>
          <w:rFonts w:ascii="Times New Roman" w:hAnsi="Times New Roman" w:cs="Times New Roman"/>
          <w:sz w:val="28"/>
          <w:szCs w:val="28"/>
        </w:rPr>
        <w:softHyphen/>
        <w:t xml:space="preserve">trocoagulation of drinking water was first applied on a large scale in the </w:t>
      </w:r>
      <w:smartTag w:uri="urn:schemas-microsoft-com:office:smarttags" w:element="country-region">
        <w:smartTag w:uri="urn:schemas-microsoft-com:office:smarttags" w:element="place">
          <w:r w:rsidRPr="00027B5B">
            <w:rPr>
              <w:rFonts w:ascii="Times New Roman" w:hAnsi="Times New Roman" w:cs="Times New Roman"/>
              <w:sz w:val="28"/>
              <w:szCs w:val="28"/>
            </w:rPr>
            <w:t>US</w:t>
          </w:r>
        </w:smartTag>
      </w:smartTag>
      <w:r w:rsidRPr="00027B5B">
        <w:rPr>
          <w:rFonts w:ascii="Times New Roman" w:hAnsi="Times New Roman" w:cs="Times New Roman"/>
          <w:sz w:val="28"/>
          <w:szCs w:val="28"/>
        </w:rPr>
        <w:t xml:space="preserve"> in 1946</w:t>
      </w:r>
      <w:hyperlink w:anchor="bookmark56" w:tooltip="Current Document" w:history="1">
        <w:r w:rsidRPr="00027B5B">
          <w:rPr>
            <w:rFonts w:ascii="Times New Roman" w:hAnsi="Times New Roman" w:cs="Times New Roman"/>
            <w:sz w:val="28"/>
            <w:szCs w:val="28"/>
          </w:rPr>
          <w:t xml:space="preserve"> [3</w:t>
        </w:r>
        <w:proofErr w:type="gramStart"/>
        <w:r w:rsidRPr="00027B5B">
          <w:rPr>
            <w:rFonts w:ascii="Times New Roman" w:hAnsi="Times New Roman" w:cs="Times New Roman"/>
            <w:sz w:val="28"/>
            <w:szCs w:val="28"/>
          </w:rPr>
          <w:t>,4</w:t>
        </w:r>
        <w:proofErr w:type="gramEnd"/>
        <w:r w:rsidRPr="00027B5B">
          <w:rPr>
            <w:rFonts w:ascii="Times New Roman" w:hAnsi="Times New Roman" w:cs="Times New Roman"/>
            <w:sz w:val="28"/>
            <w:szCs w:val="28"/>
          </w:rPr>
          <w:t xml:space="preserve">]. </w:t>
        </w:r>
      </w:hyperlink>
      <w:r w:rsidRPr="00027B5B">
        <w:rPr>
          <w:rFonts w:ascii="Times New Roman" w:hAnsi="Times New Roman" w:cs="Times New Roman"/>
          <w:sz w:val="28"/>
          <w:szCs w:val="28"/>
        </w:rPr>
        <w:t xml:space="preserve">Because of the relatively large capital investment and the expensive electricity supply, electrochemical water or wastewater technologies did not find wide application worldwide then. Extensive research, however, in the </w:t>
      </w:r>
      <w:smartTag w:uri="urn:schemas-microsoft-com:office:smarttags" w:element="country-region">
        <w:r w:rsidRPr="00027B5B">
          <w:rPr>
            <w:rFonts w:ascii="Times New Roman" w:hAnsi="Times New Roman" w:cs="Times New Roman"/>
            <w:sz w:val="28"/>
            <w:szCs w:val="28"/>
          </w:rPr>
          <w:t>US</w:t>
        </w:r>
      </w:smartTag>
      <w:r w:rsidRPr="00027B5B">
        <w:rPr>
          <w:rFonts w:ascii="Times New Roman" w:hAnsi="Times New Roman" w:cs="Times New Roman"/>
          <w:sz w:val="28"/>
          <w:szCs w:val="28"/>
        </w:rPr>
        <w:t xml:space="preserve"> and the former </w:t>
      </w:r>
      <w:smartTag w:uri="urn:schemas-microsoft-com:office:smarttags" w:element="country-region">
        <w:smartTag w:uri="urn:schemas-microsoft-com:office:smarttags" w:element="place">
          <w:r w:rsidRPr="00027B5B">
            <w:rPr>
              <w:rFonts w:ascii="Times New Roman" w:hAnsi="Times New Roman" w:cs="Times New Roman"/>
              <w:sz w:val="28"/>
              <w:szCs w:val="28"/>
            </w:rPr>
            <w:t>USSR</w:t>
          </w:r>
        </w:smartTag>
      </w:smartTag>
      <w:r w:rsidRPr="00027B5B">
        <w:rPr>
          <w:rFonts w:ascii="Times New Roman" w:hAnsi="Times New Roman" w:cs="Times New Roman"/>
          <w:sz w:val="28"/>
          <w:szCs w:val="28"/>
        </w:rPr>
        <w:t xml:space="preserve"> during the following half century has accumulated abundant amount of knowledge. With the ever increasing standard of drinking water supply and the stringent environmental regulations regarding the wastewater discharge, electrochemical technolo</w:t>
      </w:r>
      <w:r w:rsidRPr="00027B5B">
        <w:rPr>
          <w:rFonts w:ascii="Times New Roman" w:hAnsi="Times New Roman" w:cs="Times New Roman"/>
          <w:sz w:val="28"/>
          <w:szCs w:val="28"/>
        </w:rPr>
        <w:softHyphen/>
        <w:t>gies have regained their importance worldwide during the past two decades. There are companies supplying facilities for metal recoveries, for treating drinking water or process water, treating various wastewaters resulting from tannery, electroplating, diary, textile processing, oil and oil-in-water emulsion, etc.</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 xml:space="preserve"> Nowa</w:t>
      </w:r>
      <w:r w:rsidRPr="00027B5B">
        <w:rPr>
          <w:rFonts w:ascii="Times New Roman" w:hAnsi="Times New Roman" w:cs="Times New Roman"/>
          <w:sz w:val="28"/>
          <w:szCs w:val="28"/>
        </w:rPr>
        <w:softHyphen/>
        <w:t>days, electrochemical technologies have reached such a state that they are not only comparable with other technologies in terms of cost but also are more effi</w:t>
      </w:r>
      <w:r w:rsidRPr="00027B5B">
        <w:rPr>
          <w:rFonts w:ascii="Times New Roman" w:hAnsi="Times New Roman" w:cs="Times New Roman"/>
          <w:sz w:val="28"/>
          <w:szCs w:val="28"/>
        </w:rPr>
        <w:softHyphen/>
        <w:t>cient and more compact. For some situations, elec</w:t>
      </w:r>
      <w:r w:rsidRPr="00027B5B">
        <w:rPr>
          <w:rFonts w:ascii="Times New Roman" w:hAnsi="Times New Roman" w:cs="Times New Roman"/>
          <w:sz w:val="28"/>
          <w:szCs w:val="28"/>
        </w:rPr>
        <w:softHyphen/>
        <w:t>trochemical technologies may be the indispensable step in treating wastewaters containing refractory pollutants. In this paper, I shall examine the estab</w:t>
      </w:r>
      <w:r w:rsidRPr="00027B5B">
        <w:rPr>
          <w:rFonts w:ascii="Times New Roman" w:hAnsi="Times New Roman" w:cs="Times New Roman"/>
          <w:sz w:val="28"/>
          <w:szCs w:val="28"/>
        </w:rPr>
        <w:softHyphen/>
        <w:t>lished technologies such as electrochemical reactors for metal recovery, electrocoagulation, electroflota</w:t>
      </w:r>
      <w:r w:rsidRPr="00027B5B">
        <w:rPr>
          <w:rFonts w:ascii="Times New Roman" w:hAnsi="Times New Roman" w:cs="Times New Roman"/>
          <w:sz w:val="28"/>
          <w:szCs w:val="28"/>
        </w:rPr>
        <w:softHyphen/>
        <w:t>tion and electrooxidation. The emerging technologies such as electrophotooxidation, electrodisinfection will not be discussed. In addition, I shall focus more on the technologies rather than analyzing the sciences or mechanisms behind them. For books dealing with environmentally related electrochemistry, the readers are referred to other publications</w:t>
      </w:r>
      <w:hyperlink w:anchor="bookmark58" w:tooltip="Current Document" w:history="1">
        <w:r w:rsidRPr="00027B5B">
          <w:rPr>
            <w:rFonts w:ascii="Times New Roman" w:hAnsi="Times New Roman" w:cs="Times New Roman"/>
            <w:sz w:val="28"/>
            <w:szCs w:val="28"/>
          </w:rPr>
          <w:t xml:space="preserve"> [5-8].</w:t>
        </w:r>
      </w:hyperlink>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Before introducing the specific technologies, let us review a few terminologies that are concerned by elec</w:t>
      </w:r>
      <w:r w:rsidRPr="00027B5B">
        <w:rPr>
          <w:rFonts w:ascii="Times New Roman" w:hAnsi="Times New Roman" w:cs="Times New Roman"/>
          <w:sz w:val="28"/>
          <w:szCs w:val="28"/>
        </w:rPr>
        <w:softHyphen/>
        <w:t>trochemical process engineers. The most frequently referred terminology besides potential and current may be the current density, i, the current per area of elec</w:t>
      </w:r>
      <w:r w:rsidRPr="00027B5B">
        <w:rPr>
          <w:rFonts w:ascii="Times New Roman" w:hAnsi="Times New Roman" w:cs="Times New Roman"/>
          <w:sz w:val="28"/>
          <w:szCs w:val="28"/>
        </w:rPr>
        <w:softHyphen/>
        <w:t>trode. It determines the rate of a process. The next pa</w:t>
      </w:r>
      <w:r w:rsidRPr="00027B5B">
        <w:rPr>
          <w:rFonts w:ascii="Times New Roman" w:hAnsi="Times New Roman" w:cs="Times New Roman"/>
          <w:sz w:val="28"/>
          <w:szCs w:val="28"/>
        </w:rPr>
        <w:softHyphen/>
        <w:t>rameter is current efficiency, CE, the ratio of current consumed in producing a target product to that of to</w:t>
      </w:r>
      <w:r w:rsidRPr="00027B5B">
        <w:rPr>
          <w:rFonts w:ascii="Times New Roman" w:hAnsi="Times New Roman" w:cs="Times New Roman"/>
          <w:sz w:val="28"/>
          <w:szCs w:val="28"/>
        </w:rPr>
        <w:softHyphen/>
        <w:t>tal consumption. Current efficiency indicates both the specificity of a process and also the performance of the electrocatalysis involving surface reaction as well as mass transfer. The space-time yield, 7</w:t>
      </w:r>
      <w:r w:rsidRPr="00027B5B">
        <w:rPr>
          <w:rFonts w:ascii="Times New Roman" w:hAnsi="Times New Roman" w:cs="Times New Roman"/>
          <w:sz w:val="28"/>
          <w:szCs w:val="28"/>
          <w:vertAlign w:val="subscript"/>
        </w:rPr>
        <w:t>ST</w:t>
      </w:r>
      <w:r w:rsidRPr="00027B5B">
        <w:rPr>
          <w:rFonts w:ascii="Times New Roman" w:hAnsi="Times New Roman" w:cs="Times New Roman"/>
          <w:sz w:val="28"/>
          <w:szCs w:val="28"/>
        </w:rPr>
        <w:t>, of a re</w:t>
      </w:r>
      <w:r w:rsidRPr="00027B5B">
        <w:rPr>
          <w:rFonts w:ascii="Times New Roman" w:hAnsi="Times New Roman" w:cs="Times New Roman"/>
          <w:sz w:val="28"/>
          <w:szCs w:val="28"/>
        </w:rPr>
        <w:softHyphen/>
        <w:t>actor is defined as the mass of product produced by the reactor volume in unit time with iaM</w:t>
      </w:r>
    </w:p>
    <w:p w:rsidR="00027B5B" w:rsidRPr="00027B5B" w:rsidRDefault="00027B5B" w:rsidP="00027B5B">
      <w:pPr>
        <w:tabs>
          <w:tab w:val="left" w:pos="294"/>
        </w:tabs>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2.</w:t>
      </w:r>
      <w:r w:rsidRPr="00027B5B">
        <w:rPr>
          <w:rFonts w:ascii="Times New Roman" w:hAnsi="Times New Roman" w:cs="Times New Roman"/>
          <w:sz w:val="28"/>
          <w:szCs w:val="28"/>
        </w:rPr>
        <w:tab/>
        <w:t>Electrochemical reactors for metal recovery</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The electrochemical recovery of metals has been practiced in the form of electrometallurgy since long time ago</w:t>
      </w:r>
      <w:hyperlink w:anchor="bookmark77" w:tooltip="Current Document" w:history="1">
        <w:r w:rsidRPr="00027B5B">
          <w:rPr>
            <w:rFonts w:ascii="Times New Roman" w:hAnsi="Times New Roman" w:cs="Times New Roman"/>
            <w:sz w:val="28"/>
            <w:szCs w:val="28"/>
          </w:rPr>
          <w:t xml:space="preserve"> [9]. </w:t>
        </w:r>
      </w:hyperlink>
      <w:r w:rsidRPr="00027B5B">
        <w:rPr>
          <w:rFonts w:ascii="Times New Roman" w:hAnsi="Times New Roman" w:cs="Times New Roman"/>
          <w:sz w:val="28"/>
          <w:szCs w:val="28"/>
        </w:rPr>
        <w:t>The earliest reported application of elec</w:t>
      </w:r>
      <w:r w:rsidRPr="00027B5B">
        <w:rPr>
          <w:rFonts w:ascii="Times New Roman" w:hAnsi="Times New Roman" w:cs="Times New Roman"/>
          <w:sz w:val="28"/>
          <w:szCs w:val="28"/>
        </w:rPr>
        <w:softHyphen/>
        <w:t>trochemical phenomena in chemical subjects was sup</w:t>
      </w:r>
      <w:r w:rsidRPr="00027B5B">
        <w:rPr>
          <w:rFonts w:ascii="Times New Roman" w:hAnsi="Times New Roman" w:cs="Times New Roman"/>
          <w:sz w:val="28"/>
          <w:szCs w:val="28"/>
        </w:rPr>
        <w:softHyphen/>
        <w:t>posed to be carried out by Pliny in protecting iron with lead electroplating</w:t>
      </w:r>
      <w:hyperlink w:anchor="bookmark78" w:tooltip="Current Document" w:history="1">
        <w:r w:rsidRPr="00027B5B">
          <w:rPr>
            <w:rFonts w:ascii="Times New Roman" w:hAnsi="Times New Roman" w:cs="Times New Roman"/>
            <w:sz w:val="28"/>
            <w:szCs w:val="28"/>
          </w:rPr>
          <w:t xml:space="preserve"> [10]. </w:t>
        </w:r>
      </w:hyperlink>
      <w:r w:rsidRPr="00027B5B">
        <w:rPr>
          <w:rFonts w:ascii="Times New Roman" w:hAnsi="Times New Roman" w:cs="Times New Roman"/>
          <w:sz w:val="28"/>
          <w:szCs w:val="28"/>
        </w:rPr>
        <w:t xml:space="preserve">The first recorded example of electrometallurgy was in mid-17th century in </w:t>
      </w:r>
      <w:smartTag w:uri="urn:schemas-microsoft-com:office:smarttags" w:element="place">
        <w:r w:rsidRPr="00027B5B">
          <w:rPr>
            <w:rFonts w:ascii="Times New Roman" w:hAnsi="Times New Roman" w:cs="Times New Roman"/>
            <w:sz w:val="28"/>
            <w:szCs w:val="28"/>
          </w:rPr>
          <w:t>Europe</w:t>
        </w:r>
      </w:smartTag>
      <w:r w:rsidRPr="00027B5B">
        <w:rPr>
          <w:rFonts w:ascii="Times New Roman" w:hAnsi="Times New Roman" w:cs="Times New Roman"/>
          <w:sz w:val="28"/>
          <w:szCs w:val="28"/>
        </w:rPr>
        <w:t xml:space="preserve"> </w:t>
      </w:r>
      <w:hyperlink w:anchor="bookmark79" w:tooltip="Current Document" w:history="1">
        <w:r w:rsidRPr="00027B5B">
          <w:rPr>
            <w:rFonts w:ascii="Times New Roman" w:hAnsi="Times New Roman" w:cs="Times New Roman"/>
            <w:sz w:val="28"/>
            <w:szCs w:val="28"/>
          </w:rPr>
          <w:t xml:space="preserve">[11]. </w:t>
        </w:r>
      </w:hyperlink>
      <w:r w:rsidRPr="00027B5B">
        <w:rPr>
          <w:rFonts w:ascii="Times New Roman" w:hAnsi="Times New Roman" w:cs="Times New Roman"/>
          <w:sz w:val="28"/>
          <w:szCs w:val="28"/>
        </w:rPr>
        <w:t xml:space="preserve">It involved the recovery </w:t>
      </w:r>
      <w:r w:rsidRPr="00027B5B">
        <w:rPr>
          <w:rFonts w:ascii="Times New Roman" w:hAnsi="Times New Roman" w:cs="Times New Roman"/>
          <w:sz w:val="28"/>
          <w:szCs w:val="28"/>
        </w:rPr>
        <w:lastRenderedPageBreak/>
        <w:t>of copper from cuprifer</w:t>
      </w:r>
      <w:r w:rsidRPr="00027B5B">
        <w:rPr>
          <w:rFonts w:ascii="Times New Roman" w:hAnsi="Times New Roman" w:cs="Times New Roman"/>
          <w:sz w:val="28"/>
          <w:szCs w:val="28"/>
        </w:rPr>
        <w:softHyphen/>
        <w:t>ous mine water electrochemically. During the past two and half centuries, electrochemical technologies have grown into such areas as energy storage, chemical syn</w:t>
      </w:r>
      <w:r w:rsidRPr="00027B5B">
        <w:rPr>
          <w:rFonts w:ascii="Times New Roman" w:hAnsi="Times New Roman" w:cs="Times New Roman"/>
          <w:sz w:val="28"/>
          <w:szCs w:val="28"/>
        </w:rPr>
        <w:softHyphen/>
        <w:t>thesis, metal production, surface treatment, etc.</w:t>
      </w:r>
      <w:hyperlink w:anchor="bookmark67" w:tooltip="Current Document" w:history="1">
        <w:r w:rsidRPr="00027B5B">
          <w:rPr>
            <w:rFonts w:ascii="Times New Roman" w:hAnsi="Times New Roman" w:cs="Times New Roman"/>
            <w:sz w:val="28"/>
            <w:szCs w:val="28"/>
          </w:rPr>
          <w:t xml:space="preserve"> [12].</w:t>
        </w:r>
      </w:hyperlink>
      <w:r w:rsidRPr="00027B5B">
        <w:rPr>
          <w:rFonts w:ascii="Times New Roman" w:hAnsi="Times New Roman" w:cs="Times New Roman"/>
          <w:sz w:val="28"/>
          <w:szCs w:val="28"/>
        </w:rPr>
        <w:t xml:space="preserve"> </w:t>
      </w:r>
      <w:proofErr w:type="gramStart"/>
      <w:r w:rsidRPr="00027B5B">
        <w:rPr>
          <w:rFonts w:ascii="Times New Roman" w:hAnsi="Times New Roman" w:cs="Times New Roman"/>
          <w:sz w:val="28"/>
          <w:szCs w:val="28"/>
        </w:rPr>
        <w:t>The</w:t>
      </w:r>
      <w:proofErr w:type="gramEnd"/>
      <w:r w:rsidRPr="00027B5B">
        <w:rPr>
          <w:rFonts w:ascii="Times New Roman" w:hAnsi="Times New Roman" w:cs="Times New Roman"/>
          <w:sz w:val="28"/>
          <w:szCs w:val="28"/>
        </w:rPr>
        <w:t xml:space="preserve"> electrochemical mechanism for metal recovery is very simple. It basically is the cathodic deposition as</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M</w:t>
      </w:r>
      <w:r w:rsidRPr="00027B5B">
        <w:rPr>
          <w:rFonts w:ascii="Times New Roman" w:hAnsi="Times New Roman" w:cs="Times New Roman"/>
          <w:sz w:val="28"/>
          <w:szCs w:val="28"/>
          <w:vertAlign w:val="superscript"/>
        </w:rPr>
        <w:t>n</w:t>
      </w:r>
      <w:r w:rsidRPr="00027B5B">
        <w:rPr>
          <w:rFonts w:ascii="Times New Roman" w:hAnsi="Times New Roman" w:cs="Times New Roman"/>
          <w:sz w:val="28"/>
          <w:szCs w:val="28"/>
        </w:rPr>
        <w:t>+ + ne ^ M. (2)</w:t>
      </w:r>
    </w:p>
    <w:p w:rsidR="00027B5B" w:rsidRPr="00027B5B" w:rsidRDefault="00027B5B" w:rsidP="00027B5B">
      <w:pPr>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The development of the process involves the improve</w:t>
      </w:r>
      <w:r w:rsidRPr="00027B5B">
        <w:rPr>
          <w:rFonts w:ascii="Times New Roman" w:hAnsi="Times New Roman" w:cs="Times New Roman"/>
          <w:sz w:val="28"/>
          <w:szCs w:val="28"/>
        </w:rPr>
        <w:softHyphen/>
        <w:t>ment of CE as well as 7</w:t>
      </w:r>
      <w:r w:rsidRPr="00027B5B">
        <w:rPr>
          <w:rFonts w:ascii="Times New Roman" w:hAnsi="Times New Roman" w:cs="Times New Roman"/>
          <w:sz w:val="28"/>
          <w:szCs w:val="28"/>
          <w:vertAlign w:val="subscript"/>
        </w:rPr>
        <w:t>ST</w:t>
      </w:r>
      <w:r w:rsidRPr="00027B5B">
        <w:rPr>
          <w:rFonts w:ascii="Times New Roman" w:hAnsi="Times New Roman" w:cs="Times New Roman"/>
          <w:sz w:val="28"/>
          <w:szCs w:val="28"/>
        </w:rPr>
        <w:t>.</w:t>
      </w:r>
    </w:p>
    <w:p w:rsidR="00027B5B" w:rsidRPr="00027B5B" w:rsidRDefault="00027B5B" w:rsidP="00027B5B">
      <w:pPr>
        <w:ind w:firstLine="724"/>
        <w:jc w:val="both"/>
        <w:rPr>
          <w:rFonts w:ascii="Times New Roman" w:hAnsi="Times New Roman" w:cs="Times New Roman"/>
          <w:color w:val="auto"/>
          <w:sz w:val="28"/>
          <w:szCs w:val="28"/>
          <w:lang w:eastAsia="ru-RU"/>
        </w:rPr>
      </w:pPr>
      <w:bookmarkStart w:id="5" w:name="bookmark5"/>
      <w:proofErr w:type="gramStart"/>
      <w:r w:rsidRPr="00027B5B">
        <w:rPr>
          <w:rFonts w:ascii="Times New Roman" w:hAnsi="Times New Roman" w:cs="Times New Roman"/>
          <w:sz w:val="28"/>
          <w:szCs w:val="28"/>
        </w:rPr>
        <w:t>Fig. 1.</w:t>
      </w:r>
      <w:proofErr w:type="gramEnd"/>
      <w:r w:rsidRPr="00027B5B">
        <w:rPr>
          <w:rFonts w:ascii="Times New Roman" w:hAnsi="Times New Roman" w:cs="Times New Roman"/>
          <w:sz w:val="28"/>
          <w:szCs w:val="28"/>
        </w:rPr>
        <w:t xml:space="preserve"> </w:t>
      </w:r>
      <w:proofErr w:type="gramStart"/>
      <w:r w:rsidRPr="00027B5B">
        <w:rPr>
          <w:rFonts w:ascii="Times New Roman" w:hAnsi="Times New Roman" w:cs="Times New Roman"/>
          <w:sz w:val="28"/>
          <w:szCs w:val="28"/>
        </w:rPr>
        <w:t>Tank cell.</w:t>
      </w:r>
      <w:bookmarkEnd w:id="5"/>
      <w:proofErr w:type="gramEnd"/>
    </w:p>
    <w:p w:rsidR="00027B5B" w:rsidRPr="00027B5B" w:rsidRDefault="00027B5B" w:rsidP="00027B5B">
      <w:pPr>
        <w:tabs>
          <w:tab w:val="left" w:pos="471"/>
        </w:tabs>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2.1.</w:t>
      </w:r>
      <w:r w:rsidRPr="00027B5B">
        <w:rPr>
          <w:rFonts w:ascii="Times New Roman" w:hAnsi="Times New Roman" w:cs="Times New Roman"/>
          <w:sz w:val="28"/>
          <w:szCs w:val="28"/>
        </w:rPr>
        <w:tab/>
        <w:t>Typical reactors applied</w:t>
      </w:r>
    </w:p>
    <w:p w:rsidR="00027B5B" w:rsidRPr="00027B5B" w:rsidRDefault="008872CD" w:rsidP="00027B5B">
      <w:pPr>
        <w:ind w:firstLine="724"/>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drawing>
          <wp:inline distT="0" distB="0" distL="0" distR="0">
            <wp:extent cx="1242060" cy="1296670"/>
            <wp:effectExtent l="0" t="0" r="0" b="0"/>
            <wp:docPr id="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242060" cy="1296670"/>
                    </a:xfrm>
                    <a:prstGeom prst="rect">
                      <a:avLst/>
                    </a:prstGeom>
                    <a:noFill/>
                    <a:ln>
                      <a:noFill/>
                    </a:ln>
                  </pic:spPr>
                </pic:pic>
              </a:graphicData>
            </a:graphic>
          </wp:inline>
        </w:drawing>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 xml:space="preserve">(a) </w:t>
      </w:r>
      <w:proofErr w:type="gramStart"/>
      <w:r w:rsidRPr="00027B5B">
        <w:rPr>
          <w:rFonts w:ascii="Times New Roman" w:hAnsi="Times New Roman" w:cs="Times New Roman"/>
          <w:sz w:val="28"/>
          <w:szCs w:val="28"/>
        </w:rPr>
        <w:t>monopolar</w:t>
      </w:r>
      <w:proofErr w:type="gramEnd"/>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There are quite a few types of reactors found ap</w:t>
      </w:r>
      <w:r w:rsidRPr="00027B5B">
        <w:rPr>
          <w:rFonts w:ascii="Times New Roman" w:hAnsi="Times New Roman" w:cs="Times New Roman"/>
          <w:sz w:val="28"/>
          <w:szCs w:val="28"/>
        </w:rPr>
        <w:softHyphen/>
        <w:t>plications in metal recovery, from very basic reactors such as tank cells, plate and frame cells, rotating cells, to complicated three-dimensional reactor systems like fluidized bed, packed bed cell, or porous carbon pack</w:t>
      </w:r>
      <w:r w:rsidRPr="00027B5B">
        <w:rPr>
          <w:rFonts w:ascii="Times New Roman" w:hAnsi="Times New Roman" w:cs="Times New Roman"/>
          <w:sz w:val="28"/>
          <w:szCs w:val="28"/>
        </w:rPr>
        <w:softHyphen/>
        <w:t>ing cells. Tank cells,</w:t>
      </w:r>
      <w:hyperlink w:anchor="bookmark4" w:tooltip="Current Document" w:history="1">
        <w:r w:rsidRPr="00027B5B">
          <w:rPr>
            <w:rFonts w:ascii="Times New Roman" w:hAnsi="Times New Roman" w:cs="Times New Roman"/>
            <w:sz w:val="28"/>
            <w:szCs w:val="28"/>
          </w:rPr>
          <w:t xml:space="preserve"> Fig. 1, </w:t>
        </w:r>
      </w:hyperlink>
      <w:r w:rsidRPr="00027B5B">
        <w:rPr>
          <w:rFonts w:ascii="Times New Roman" w:hAnsi="Times New Roman" w:cs="Times New Roman"/>
          <w:sz w:val="28"/>
          <w:szCs w:val="28"/>
        </w:rPr>
        <w:t>are one of the simplest and hence the most popular designs. It can be easily scaled up or down depending on the load of a pro</w:t>
      </w:r>
      <w:r w:rsidRPr="00027B5B">
        <w:rPr>
          <w:rFonts w:ascii="Times New Roman" w:hAnsi="Times New Roman" w:cs="Times New Roman"/>
          <w:sz w:val="28"/>
          <w:szCs w:val="28"/>
        </w:rPr>
        <w:softHyphen/>
        <w:t xml:space="preserve">cess. The electrode can be arranged in mono-polar or bi-polar mode, </w:t>
      </w:r>
      <w:hyperlink w:anchor="bookmark4" w:tooltip="Current Document" w:history="1">
        <w:r w:rsidRPr="00027B5B">
          <w:rPr>
            <w:rFonts w:ascii="Times New Roman" w:hAnsi="Times New Roman" w:cs="Times New Roman"/>
            <w:sz w:val="28"/>
            <w:szCs w:val="28"/>
          </w:rPr>
          <w:t xml:space="preserve">Fig. 2. </w:t>
        </w:r>
      </w:hyperlink>
      <w:r w:rsidRPr="00027B5B">
        <w:rPr>
          <w:rFonts w:ascii="Times New Roman" w:hAnsi="Times New Roman" w:cs="Times New Roman"/>
          <w:sz w:val="28"/>
          <w:szCs w:val="28"/>
        </w:rPr>
        <w:t>The main application of this type of reactor system is the recovery of metals from high concentration process streams such as effluents from the electroplating baths, ethants, and eluates of an ion-exchange unit</w:t>
      </w:r>
      <w:hyperlink w:anchor="bookmark79" w:tooltip="Current Document" w:history="1">
        <w:r w:rsidRPr="00027B5B">
          <w:rPr>
            <w:rFonts w:ascii="Times New Roman" w:hAnsi="Times New Roman" w:cs="Times New Roman"/>
            <w:sz w:val="28"/>
            <w:szCs w:val="28"/>
          </w:rPr>
          <w:t xml:space="preserve"> [11]. </w:t>
        </w:r>
      </w:hyperlink>
      <w:r w:rsidRPr="00027B5B">
        <w:rPr>
          <w:rFonts w:ascii="Times New Roman" w:hAnsi="Times New Roman" w:cs="Times New Roman"/>
          <w:sz w:val="28"/>
          <w:szCs w:val="28"/>
        </w:rPr>
        <w:t>The number of electrodes in a stack may vary from 10 to 100. The water flow is usually induced by gravity.</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The plate and frame cell or sometimes called filter press,</w:t>
      </w:r>
      <w:hyperlink w:anchor="bookmark6" w:tooltip="Current Document" w:history="1">
        <w:r w:rsidRPr="00027B5B">
          <w:rPr>
            <w:rFonts w:ascii="Times New Roman" w:hAnsi="Times New Roman" w:cs="Times New Roman"/>
            <w:sz w:val="28"/>
            <w:szCs w:val="28"/>
          </w:rPr>
          <w:t xml:space="preserve"> Fig. 3, </w:t>
        </w:r>
      </w:hyperlink>
      <w:r w:rsidRPr="00027B5B">
        <w:rPr>
          <w:rFonts w:ascii="Times New Roman" w:hAnsi="Times New Roman" w:cs="Times New Roman"/>
          <w:sz w:val="28"/>
          <w:szCs w:val="28"/>
        </w:rPr>
        <w:t>is one of the most popular electrochem</w:t>
      </w:r>
      <w:r w:rsidRPr="00027B5B">
        <w:rPr>
          <w:rFonts w:ascii="Times New Roman" w:hAnsi="Times New Roman" w:cs="Times New Roman"/>
          <w:sz w:val="28"/>
          <w:szCs w:val="28"/>
        </w:rPr>
        <w:softHyphen/>
        <w:t>ical reactor designs. It conveniently houses units with an anode, a cathode, and a membrane (if necessary) in one module. This module system makes the design, operation and maintenance of the reactor relatively</w:t>
      </w:r>
    </w:p>
    <w:p w:rsidR="00027B5B" w:rsidRPr="00027B5B" w:rsidRDefault="008872CD" w:rsidP="00027B5B">
      <w:pPr>
        <w:ind w:firstLine="724"/>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drawing>
          <wp:inline distT="0" distB="0" distL="0" distR="0">
            <wp:extent cx="1242060" cy="1282700"/>
            <wp:effectExtent l="0" t="0" r="0" b="0"/>
            <wp:docPr id="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242060" cy="1282700"/>
                    </a:xfrm>
                    <a:prstGeom prst="rect">
                      <a:avLst/>
                    </a:prstGeom>
                    <a:noFill/>
                    <a:ln>
                      <a:noFill/>
                    </a:ln>
                  </pic:spPr>
                </pic:pic>
              </a:graphicData>
            </a:graphic>
          </wp:inline>
        </w:drawing>
      </w:r>
    </w:p>
    <w:p w:rsidR="00027B5B" w:rsidRPr="00027B5B" w:rsidRDefault="00027B5B" w:rsidP="00027B5B">
      <w:pPr>
        <w:tabs>
          <w:tab w:val="left" w:pos="319"/>
        </w:tabs>
        <w:ind w:firstLine="724"/>
        <w:jc w:val="both"/>
        <w:outlineLvl w:val="6"/>
        <w:rPr>
          <w:rFonts w:ascii="Times New Roman" w:hAnsi="Times New Roman" w:cs="Times New Roman"/>
          <w:color w:val="auto"/>
          <w:sz w:val="28"/>
          <w:szCs w:val="28"/>
          <w:lang w:eastAsia="ru-RU"/>
        </w:rPr>
      </w:pPr>
      <w:bookmarkStart w:id="6" w:name="bookmark13"/>
      <w:r w:rsidRPr="00027B5B">
        <w:rPr>
          <w:rFonts w:ascii="Times New Roman" w:hAnsi="Times New Roman" w:cs="Times New Roman"/>
          <w:sz w:val="28"/>
          <w:szCs w:val="28"/>
        </w:rPr>
        <w:t>3.</w:t>
      </w:r>
      <w:r w:rsidRPr="00027B5B">
        <w:rPr>
          <w:rFonts w:ascii="Times New Roman" w:hAnsi="Times New Roman" w:cs="Times New Roman"/>
          <w:sz w:val="28"/>
          <w:szCs w:val="28"/>
        </w:rPr>
        <w:tab/>
        <w:t>Electrocoagulation</w:t>
      </w:r>
      <w:bookmarkEnd w:id="6"/>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Electrocoagulation involves the generation of co</w:t>
      </w:r>
      <w:r w:rsidRPr="00027B5B">
        <w:rPr>
          <w:rFonts w:ascii="Times New Roman" w:hAnsi="Times New Roman" w:cs="Times New Roman"/>
          <w:sz w:val="28"/>
          <w:szCs w:val="28"/>
        </w:rPr>
        <w:softHyphen/>
        <w:t>agulants in situ by dissolving electrically either alu</w:t>
      </w:r>
      <w:r w:rsidRPr="00027B5B">
        <w:rPr>
          <w:rFonts w:ascii="Times New Roman" w:hAnsi="Times New Roman" w:cs="Times New Roman"/>
          <w:sz w:val="28"/>
          <w:szCs w:val="28"/>
        </w:rPr>
        <w:softHyphen/>
        <w:t xml:space="preserve">minum or iron ions from respectively aluminum or iron electrodes. The metal ions generation takes place at the </w:t>
      </w:r>
      <w:proofErr w:type="gramStart"/>
      <w:r w:rsidRPr="00027B5B">
        <w:rPr>
          <w:rFonts w:ascii="Times New Roman" w:hAnsi="Times New Roman" w:cs="Times New Roman"/>
          <w:sz w:val="28"/>
          <w:szCs w:val="28"/>
        </w:rPr>
        <w:t>anode,</w:t>
      </w:r>
      <w:proofErr w:type="gramEnd"/>
      <w:r w:rsidRPr="00027B5B">
        <w:rPr>
          <w:rFonts w:ascii="Times New Roman" w:hAnsi="Times New Roman" w:cs="Times New Roman"/>
          <w:sz w:val="28"/>
          <w:szCs w:val="28"/>
        </w:rPr>
        <w:t xml:space="preserve"> hydrogen gas is released from the cath</w:t>
      </w:r>
      <w:r w:rsidRPr="00027B5B">
        <w:rPr>
          <w:rFonts w:ascii="Times New Roman" w:hAnsi="Times New Roman" w:cs="Times New Roman"/>
          <w:sz w:val="28"/>
          <w:szCs w:val="28"/>
        </w:rPr>
        <w:softHyphen/>
        <w:t>ode. The hydrogen gas would also help to float the flocculated particles out of the water. This process sometimes is called electrofloculation. It is schemati</w:t>
      </w:r>
      <w:r w:rsidRPr="00027B5B">
        <w:rPr>
          <w:rFonts w:ascii="Times New Roman" w:hAnsi="Times New Roman" w:cs="Times New Roman"/>
          <w:sz w:val="28"/>
          <w:szCs w:val="28"/>
        </w:rPr>
        <w:softHyphen/>
        <w:t xml:space="preserve">cally shown in </w:t>
      </w:r>
      <w:hyperlink w:anchor="bookmark14" w:tooltip="Current Document" w:history="1">
        <w:r w:rsidRPr="00027B5B">
          <w:rPr>
            <w:rFonts w:ascii="Times New Roman" w:hAnsi="Times New Roman" w:cs="Times New Roman"/>
            <w:sz w:val="28"/>
            <w:szCs w:val="28"/>
          </w:rPr>
          <w:t>Fig. 10. T</w:t>
        </w:r>
      </w:hyperlink>
      <w:r w:rsidRPr="00027B5B">
        <w:rPr>
          <w:rFonts w:ascii="Times New Roman" w:hAnsi="Times New Roman" w:cs="Times New Roman"/>
          <w:sz w:val="28"/>
          <w:szCs w:val="28"/>
        </w:rPr>
        <w:t xml:space="preserve">he electrodes can be </w:t>
      </w:r>
      <w:r w:rsidRPr="00027B5B">
        <w:rPr>
          <w:rFonts w:ascii="Times New Roman" w:hAnsi="Times New Roman" w:cs="Times New Roman"/>
          <w:sz w:val="28"/>
          <w:szCs w:val="28"/>
        </w:rPr>
        <w:lastRenderedPageBreak/>
        <w:t>arranged in a mono-polar or bi-polar mode. The materials can be aluminum or iron in plate form or packed form of scraps such as steel turnings, millings, etc.</w:t>
      </w:r>
    </w:p>
    <w:p w:rsidR="00027B5B" w:rsidRPr="00027B5B" w:rsidRDefault="00027B5B" w:rsidP="00027B5B">
      <w:pPr>
        <w:tabs>
          <w:tab w:val="left" w:pos="406"/>
        </w:tabs>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3.4.</w:t>
      </w:r>
      <w:r w:rsidRPr="00027B5B">
        <w:rPr>
          <w:rFonts w:ascii="Times New Roman" w:hAnsi="Times New Roman" w:cs="Times New Roman"/>
          <w:sz w:val="28"/>
          <w:szCs w:val="28"/>
        </w:rPr>
        <w:tab/>
        <w:t>Effluents treated by electrocoagulation</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Electrocoagulation is efficient in removing sus</w:t>
      </w:r>
      <w:r w:rsidRPr="00027B5B">
        <w:rPr>
          <w:rFonts w:ascii="Times New Roman" w:hAnsi="Times New Roman" w:cs="Times New Roman"/>
          <w:sz w:val="28"/>
          <w:szCs w:val="28"/>
        </w:rPr>
        <w:softHyphen/>
        <w:t>pended solids as well as oil and greases. It has been proven to be effective in water treatment such as drinking water supply for small or medium sized community, for marine operation and even for boiler water supply for industrial processes where a large water treatment plant is not economical or necessary. It is very effective in coagulating the colloidal found in natural water so that reduces the turbidity and color. It is also used in the removal or destruction of algeas or microorganisms. It can be used to remove irons, silicates, humus, dissolved oxygen, etc.</w:t>
      </w:r>
      <w:hyperlink w:anchor="bookmark61" w:tooltip="Current Document" w:history="1">
        <w:r w:rsidRPr="00027B5B">
          <w:rPr>
            <w:rFonts w:ascii="Times New Roman" w:hAnsi="Times New Roman" w:cs="Times New Roman"/>
            <w:sz w:val="28"/>
            <w:szCs w:val="28"/>
          </w:rPr>
          <w:t xml:space="preserve"> [28].</w:t>
        </w:r>
      </w:hyperlink>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Electrocoagulation was found particularly useful in wastewater treatment</w:t>
      </w:r>
      <w:hyperlink w:anchor="bookmark83" w:tooltip="Current Document" w:history="1">
        <w:r w:rsidRPr="00027B5B">
          <w:rPr>
            <w:rFonts w:ascii="Times New Roman" w:hAnsi="Times New Roman" w:cs="Times New Roman"/>
            <w:sz w:val="28"/>
            <w:szCs w:val="28"/>
          </w:rPr>
          <w:t xml:space="preserve"> [37]. </w:t>
        </w:r>
      </w:hyperlink>
      <w:r w:rsidRPr="00027B5B">
        <w:rPr>
          <w:rFonts w:ascii="Times New Roman" w:hAnsi="Times New Roman" w:cs="Times New Roman"/>
          <w:sz w:val="28"/>
          <w:szCs w:val="28"/>
        </w:rPr>
        <w:t>It has been employed in treating wastewaters from textile</w:t>
      </w:r>
      <w:hyperlink w:anchor="bookmark84" w:tooltip="Current Document" w:history="1">
        <w:r w:rsidRPr="00027B5B">
          <w:rPr>
            <w:rFonts w:ascii="Times New Roman" w:hAnsi="Times New Roman" w:cs="Times New Roman"/>
            <w:sz w:val="28"/>
            <w:szCs w:val="28"/>
          </w:rPr>
          <w:t xml:space="preserve"> [38-41], </w:t>
        </w:r>
      </w:hyperlink>
      <w:r w:rsidRPr="00027B5B">
        <w:rPr>
          <w:rFonts w:ascii="Times New Roman" w:hAnsi="Times New Roman" w:cs="Times New Roman"/>
          <w:sz w:val="28"/>
          <w:szCs w:val="28"/>
        </w:rPr>
        <w:t xml:space="preserve">catering </w:t>
      </w:r>
      <w:hyperlink w:anchor="bookmark64" w:tooltip="Current Document" w:history="1">
        <w:r w:rsidRPr="00027B5B">
          <w:rPr>
            <w:rFonts w:ascii="Times New Roman" w:hAnsi="Times New Roman" w:cs="Times New Roman"/>
            <w:sz w:val="28"/>
            <w:szCs w:val="28"/>
          </w:rPr>
          <w:t xml:space="preserve">[29,42], </w:t>
        </w:r>
      </w:hyperlink>
      <w:r w:rsidRPr="00027B5B">
        <w:rPr>
          <w:rFonts w:ascii="Times New Roman" w:hAnsi="Times New Roman" w:cs="Times New Roman"/>
          <w:sz w:val="28"/>
          <w:szCs w:val="28"/>
        </w:rPr>
        <w:t xml:space="preserve">petroleum, tar sand and oil shale wastewater </w:t>
      </w:r>
      <w:hyperlink w:anchor="bookmark104" w:tooltip="Current Document" w:history="1">
        <w:r w:rsidRPr="00027B5B">
          <w:rPr>
            <w:rFonts w:ascii="Times New Roman" w:hAnsi="Times New Roman" w:cs="Times New Roman"/>
            <w:sz w:val="28"/>
            <w:szCs w:val="28"/>
          </w:rPr>
          <w:t xml:space="preserve">[43], </w:t>
        </w:r>
      </w:hyperlink>
      <w:r w:rsidRPr="00027B5B">
        <w:rPr>
          <w:rFonts w:ascii="Times New Roman" w:hAnsi="Times New Roman" w:cs="Times New Roman"/>
          <w:sz w:val="28"/>
          <w:szCs w:val="28"/>
        </w:rPr>
        <w:t>carpet wastewater</w:t>
      </w:r>
      <w:hyperlink w:anchor="bookmark105" w:tooltip="Current Document" w:history="1">
        <w:r w:rsidRPr="00027B5B">
          <w:rPr>
            <w:rFonts w:ascii="Times New Roman" w:hAnsi="Times New Roman" w:cs="Times New Roman"/>
            <w:sz w:val="28"/>
            <w:szCs w:val="28"/>
          </w:rPr>
          <w:t xml:space="preserve"> [44], </w:t>
        </w:r>
      </w:hyperlink>
      <w:r w:rsidRPr="00027B5B">
        <w:rPr>
          <w:rFonts w:ascii="Times New Roman" w:hAnsi="Times New Roman" w:cs="Times New Roman"/>
          <w:sz w:val="28"/>
          <w:szCs w:val="28"/>
        </w:rPr>
        <w:t>municipal sewage</w:t>
      </w:r>
      <w:hyperlink w:anchor="bookmark93" w:tooltip="Current Document" w:history="1">
        <w:r w:rsidRPr="00027B5B">
          <w:rPr>
            <w:rFonts w:ascii="Times New Roman" w:hAnsi="Times New Roman" w:cs="Times New Roman"/>
            <w:sz w:val="28"/>
            <w:szCs w:val="28"/>
          </w:rPr>
          <w:t xml:space="preserve"> [45],</w:t>
        </w:r>
      </w:hyperlink>
      <w:r w:rsidRPr="00027B5B">
        <w:rPr>
          <w:rFonts w:ascii="Times New Roman" w:hAnsi="Times New Roman" w:cs="Times New Roman"/>
          <w:sz w:val="28"/>
          <w:szCs w:val="28"/>
        </w:rPr>
        <w:t xml:space="preserve"> chemical fiber wastewater</w:t>
      </w:r>
      <w:hyperlink w:anchor="bookmark106" w:tooltip="Current Document" w:history="1">
        <w:r w:rsidRPr="00027B5B">
          <w:rPr>
            <w:rFonts w:ascii="Times New Roman" w:hAnsi="Times New Roman" w:cs="Times New Roman"/>
            <w:sz w:val="28"/>
            <w:szCs w:val="28"/>
          </w:rPr>
          <w:t xml:space="preserve"> [46], </w:t>
        </w:r>
      </w:hyperlink>
      <w:r w:rsidRPr="00027B5B">
        <w:rPr>
          <w:rFonts w:ascii="Times New Roman" w:hAnsi="Times New Roman" w:cs="Times New Roman"/>
          <w:sz w:val="28"/>
          <w:szCs w:val="28"/>
        </w:rPr>
        <w:t xml:space="preserve">oil-water emulsion </w:t>
      </w:r>
      <w:hyperlink w:anchor="bookmark107" w:tooltip="Current Document" w:history="1">
        <w:r w:rsidRPr="00027B5B">
          <w:rPr>
            <w:rFonts w:ascii="Times New Roman" w:hAnsi="Times New Roman" w:cs="Times New Roman"/>
            <w:sz w:val="28"/>
            <w:szCs w:val="28"/>
          </w:rPr>
          <w:t xml:space="preserve">[47,48], </w:t>
        </w:r>
      </w:hyperlink>
      <w:r w:rsidRPr="00027B5B">
        <w:rPr>
          <w:rFonts w:ascii="Times New Roman" w:hAnsi="Times New Roman" w:cs="Times New Roman"/>
          <w:sz w:val="28"/>
          <w:szCs w:val="28"/>
        </w:rPr>
        <w:t>oily wastewater</w:t>
      </w:r>
      <w:hyperlink w:anchor="bookmark70" w:tooltip="Current Document" w:history="1">
        <w:r w:rsidRPr="00027B5B">
          <w:rPr>
            <w:rFonts w:ascii="Times New Roman" w:hAnsi="Times New Roman" w:cs="Times New Roman"/>
            <w:sz w:val="28"/>
            <w:szCs w:val="28"/>
          </w:rPr>
          <w:t xml:space="preserve"> [34] </w:t>
        </w:r>
      </w:hyperlink>
      <w:r w:rsidRPr="00027B5B">
        <w:rPr>
          <w:rFonts w:ascii="Times New Roman" w:hAnsi="Times New Roman" w:cs="Times New Roman"/>
          <w:sz w:val="28"/>
          <w:szCs w:val="28"/>
        </w:rPr>
        <w:t>clay suspension</w:t>
      </w:r>
      <w:hyperlink w:anchor="bookmark108" w:tooltip="Current Document" w:history="1">
        <w:r w:rsidRPr="00027B5B">
          <w:rPr>
            <w:rFonts w:ascii="Times New Roman" w:hAnsi="Times New Roman" w:cs="Times New Roman"/>
            <w:sz w:val="28"/>
            <w:szCs w:val="28"/>
          </w:rPr>
          <w:t xml:space="preserve"> [49],</w:t>
        </w:r>
      </w:hyperlink>
      <w:r w:rsidRPr="00027B5B">
        <w:rPr>
          <w:rFonts w:ascii="Times New Roman" w:hAnsi="Times New Roman" w:cs="Times New Roman"/>
          <w:sz w:val="28"/>
          <w:szCs w:val="28"/>
        </w:rPr>
        <w:t xml:space="preserve"> nitrite</w:t>
      </w:r>
      <w:hyperlink w:anchor="bookmark109" w:tooltip="Current Document" w:history="1">
        <w:r w:rsidRPr="00027B5B">
          <w:rPr>
            <w:rFonts w:ascii="Times New Roman" w:hAnsi="Times New Roman" w:cs="Times New Roman"/>
            <w:sz w:val="28"/>
            <w:szCs w:val="28"/>
          </w:rPr>
          <w:t xml:space="preserve"> [50], </w:t>
        </w:r>
      </w:hyperlink>
      <w:r w:rsidRPr="00027B5B">
        <w:rPr>
          <w:rFonts w:ascii="Times New Roman" w:hAnsi="Times New Roman" w:cs="Times New Roman"/>
          <w:sz w:val="28"/>
          <w:szCs w:val="28"/>
        </w:rPr>
        <w:t>and dye stuff</w:t>
      </w:r>
      <w:hyperlink w:anchor="bookmark110" w:tooltip="Current Document" w:history="1">
        <w:r w:rsidRPr="00027B5B">
          <w:rPr>
            <w:rFonts w:ascii="Times New Roman" w:hAnsi="Times New Roman" w:cs="Times New Roman"/>
            <w:sz w:val="28"/>
            <w:szCs w:val="28"/>
          </w:rPr>
          <w:t xml:space="preserve"> [51] f</w:t>
        </w:r>
      </w:hyperlink>
      <w:r w:rsidRPr="00027B5B">
        <w:rPr>
          <w:rFonts w:ascii="Times New Roman" w:hAnsi="Times New Roman" w:cs="Times New Roman"/>
          <w:sz w:val="28"/>
          <w:szCs w:val="28"/>
        </w:rPr>
        <w:t>rom wastewater. Cop</w:t>
      </w:r>
      <w:r w:rsidRPr="00027B5B">
        <w:rPr>
          <w:rFonts w:ascii="Times New Roman" w:hAnsi="Times New Roman" w:cs="Times New Roman"/>
          <w:sz w:val="28"/>
          <w:szCs w:val="28"/>
        </w:rPr>
        <w:softHyphen/>
        <w:t xml:space="preserve">per reduction, coagulation and separation </w:t>
      </w:r>
      <w:proofErr w:type="gramStart"/>
      <w:r w:rsidRPr="00027B5B">
        <w:rPr>
          <w:rFonts w:ascii="Times New Roman" w:hAnsi="Times New Roman" w:cs="Times New Roman"/>
          <w:sz w:val="28"/>
          <w:szCs w:val="28"/>
        </w:rPr>
        <w:t>was</w:t>
      </w:r>
      <w:proofErr w:type="gramEnd"/>
      <w:r w:rsidRPr="00027B5B">
        <w:rPr>
          <w:rFonts w:ascii="Times New Roman" w:hAnsi="Times New Roman" w:cs="Times New Roman"/>
          <w:sz w:val="28"/>
          <w:szCs w:val="28"/>
        </w:rPr>
        <w:t xml:space="preserve"> also found effective</w:t>
      </w:r>
      <w:hyperlink w:anchor="bookmark111" w:tooltip="Current Document" w:history="1">
        <w:r w:rsidRPr="00027B5B">
          <w:rPr>
            <w:rFonts w:ascii="Times New Roman" w:hAnsi="Times New Roman" w:cs="Times New Roman"/>
            <w:sz w:val="28"/>
            <w:szCs w:val="28"/>
          </w:rPr>
          <w:t xml:space="preserve"> [52].</w:t>
        </w:r>
      </w:hyperlink>
    </w:p>
    <w:p w:rsidR="00027B5B" w:rsidRPr="00027B5B" w:rsidRDefault="00027B5B" w:rsidP="00027B5B">
      <w:pPr>
        <w:tabs>
          <w:tab w:val="left" w:pos="294"/>
        </w:tabs>
        <w:ind w:firstLine="724"/>
        <w:jc w:val="both"/>
        <w:outlineLvl w:val="6"/>
        <w:rPr>
          <w:rFonts w:ascii="Times New Roman" w:hAnsi="Times New Roman" w:cs="Times New Roman"/>
          <w:color w:val="auto"/>
          <w:sz w:val="28"/>
          <w:szCs w:val="28"/>
          <w:lang w:eastAsia="ru-RU"/>
        </w:rPr>
      </w:pPr>
      <w:r w:rsidRPr="00027B5B">
        <w:rPr>
          <w:rFonts w:ascii="Times New Roman" w:hAnsi="Times New Roman" w:cs="Times New Roman"/>
          <w:sz w:val="28"/>
          <w:szCs w:val="28"/>
        </w:rPr>
        <w:t>4.</w:t>
      </w:r>
      <w:r w:rsidRPr="00027B5B">
        <w:rPr>
          <w:rFonts w:ascii="Times New Roman" w:hAnsi="Times New Roman" w:cs="Times New Roman"/>
          <w:sz w:val="28"/>
          <w:szCs w:val="28"/>
        </w:rPr>
        <w:tab/>
        <w:t>Electroflotation</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Electroflotation is a simple process that floats pol</w:t>
      </w:r>
      <w:r w:rsidRPr="00027B5B">
        <w:rPr>
          <w:rFonts w:ascii="Times New Roman" w:hAnsi="Times New Roman" w:cs="Times New Roman"/>
          <w:sz w:val="28"/>
          <w:szCs w:val="28"/>
        </w:rPr>
        <w:softHyphen/>
        <w:t>lutants to the surface of a water body by tiny bubbles of hydrogen and oxygen gases generated from water electrolysis</w:t>
      </w:r>
      <w:hyperlink w:anchor="bookmark100" w:tooltip="Current Document" w:history="1">
        <w:r w:rsidRPr="00027B5B">
          <w:rPr>
            <w:rFonts w:ascii="Times New Roman" w:hAnsi="Times New Roman" w:cs="Times New Roman"/>
            <w:sz w:val="28"/>
            <w:szCs w:val="28"/>
          </w:rPr>
          <w:t xml:space="preserve"> [53]. </w:t>
        </w:r>
      </w:hyperlink>
      <w:r w:rsidRPr="00027B5B">
        <w:rPr>
          <w:rFonts w:ascii="Times New Roman" w:hAnsi="Times New Roman" w:cs="Times New Roman"/>
          <w:sz w:val="28"/>
          <w:szCs w:val="28"/>
        </w:rPr>
        <w:t>Therefore, the electrochemical reac</w:t>
      </w:r>
      <w:r w:rsidRPr="00027B5B">
        <w:rPr>
          <w:rFonts w:ascii="Times New Roman" w:hAnsi="Times New Roman" w:cs="Times New Roman"/>
          <w:sz w:val="28"/>
          <w:szCs w:val="28"/>
        </w:rPr>
        <w:softHyphen/>
        <w:t>tions at the cathode and anode are hydrogen evolution and oxygen evolution reactions, respectively. EF was first proposed by Elmore in 1904 for flotation of valu</w:t>
      </w:r>
      <w:r w:rsidRPr="00027B5B">
        <w:rPr>
          <w:rFonts w:ascii="Times New Roman" w:hAnsi="Times New Roman" w:cs="Times New Roman"/>
          <w:sz w:val="28"/>
          <w:szCs w:val="28"/>
        </w:rPr>
        <w:softHyphen/>
        <w:t>able minerals from ores</w:t>
      </w:r>
      <w:hyperlink w:anchor="bookmark75" w:tooltip="Current Document" w:history="1">
        <w:r w:rsidRPr="00027B5B">
          <w:rPr>
            <w:rFonts w:ascii="Times New Roman" w:hAnsi="Times New Roman" w:cs="Times New Roman"/>
            <w:sz w:val="28"/>
            <w:szCs w:val="28"/>
          </w:rPr>
          <w:t xml:space="preserve"> [2].</w:t>
        </w:r>
      </w:hyperlink>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4.1. Factors affecting electroflotation</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The performance of an electroflotation system is reflected by the pollutant removal efficiency and the power and/or chemical consumptions. The pollutant removal efficiency is largely dependent on the size of the bubbles formed. For the power consumption, it re</w:t>
      </w:r>
      <w:r w:rsidRPr="00027B5B">
        <w:rPr>
          <w:rFonts w:ascii="Times New Roman" w:hAnsi="Times New Roman" w:cs="Times New Roman"/>
          <w:sz w:val="28"/>
          <w:szCs w:val="28"/>
        </w:rPr>
        <w:softHyphen/>
        <w:t>lates to the cell design, electrode materials as well as the operating conditions such as current density, wa</w:t>
      </w:r>
      <w:r w:rsidRPr="00027B5B">
        <w:rPr>
          <w:rFonts w:ascii="Times New Roman" w:hAnsi="Times New Roman" w:cs="Times New Roman"/>
          <w:sz w:val="28"/>
          <w:szCs w:val="28"/>
        </w:rPr>
        <w:softHyphen/>
        <w:t>ter conductivity, etc. If the solid particles are charged, the opposite zeta-potential for the bubbles are recom</w:t>
      </w:r>
      <w:r w:rsidRPr="00027B5B">
        <w:rPr>
          <w:rFonts w:ascii="Times New Roman" w:hAnsi="Times New Roman" w:cs="Times New Roman"/>
          <w:sz w:val="28"/>
          <w:szCs w:val="28"/>
        </w:rPr>
        <w:softHyphen/>
        <w:t>mended</w:t>
      </w:r>
      <w:hyperlink w:anchor="bookmark112" w:tooltip="Current Document" w:history="1">
        <w:r w:rsidRPr="00027B5B">
          <w:rPr>
            <w:rFonts w:ascii="Times New Roman" w:hAnsi="Times New Roman" w:cs="Times New Roman"/>
            <w:sz w:val="28"/>
            <w:szCs w:val="28"/>
          </w:rPr>
          <w:t xml:space="preserve"> [54].</w:t>
        </w:r>
      </w:hyperlink>
    </w:p>
    <w:p w:rsidR="00027B5B" w:rsidRPr="00027B5B" w:rsidRDefault="00027B5B" w:rsidP="00027B5B">
      <w:pPr>
        <w:tabs>
          <w:tab w:val="left" w:pos="458"/>
        </w:tabs>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4.5.</w:t>
      </w:r>
      <w:r w:rsidRPr="00027B5B">
        <w:rPr>
          <w:rFonts w:ascii="Times New Roman" w:hAnsi="Times New Roman" w:cs="Times New Roman"/>
          <w:sz w:val="28"/>
          <w:szCs w:val="28"/>
        </w:rPr>
        <w:tab/>
        <w:t>Wastewaters treated by electroflotation</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Mineral recovery remains the major user of elec</w:t>
      </w:r>
      <w:r w:rsidRPr="00027B5B">
        <w:rPr>
          <w:rFonts w:ascii="Times New Roman" w:hAnsi="Times New Roman" w:cs="Times New Roman"/>
          <w:sz w:val="28"/>
          <w:szCs w:val="28"/>
        </w:rPr>
        <w:softHyphen/>
        <w:t>troflotation</w:t>
      </w:r>
      <w:hyperlink w:anchor="bookmark133" w:tooltip="Current Document" w:history="1">
        <w:r w:rsidRPr="00027B5B">
          <w:rPr>
            <w:rFonts w:ascii="Times New Roman" w:hAnsi="Times New Roman" w:cs="Times New Roman"/>
            <w:sz w:val="28"/>
            <w:szCs w:val="28"/>
          </w:rPr>
          <w:t xml:space="preserve"> [86]. </w:t>
        </w:r>
      </w:hyperlink>
      <w:r w:rsidRPr="00027B5B">
        <w:rPr>
          <w:rFonts w:ascii="Times New Roman" w:hAnsi="Times New Roman" w:cs="Times New Roman"/>
          <w:sz w:val="28"/>
          <w:szCs w:val="28"/>
        </w:rPr>
        <w:t>In water and wastewater treatment, flotation is the most effective process for the separa</w:t>
      </w:r>
      <w:r w:rsidRPr="00027B5B">
        <w:rPr>
          <w:rFonts w:ascii="Times New Roman" w:hAnsi="Times New Roman" w:cs="Times New Roman"/>
          <w:sz w:val="28"/>
          <w:szCs w:val="28"/>
        </w:rPr>
        <w:softHyphen/>
        <w:t>tion of oil and low-density suspended solids</w:t>
      </w:r>
      <w:hyperlink w:anchor="bookmark125" w:tooltip="Current Document" w:history="1">
        <w:r w:rsidRPr="00027B5B">
          <w:rPr>
            <w:rFonts w:ascii="Times New Roman" w:hAnsi="Times New Roman" w:cs="Times New Roman"/>
            <w:sz w:val="28"/>
            <w:szCs w:val="28"/>
          </w:rPr>
          <w:t xml:space="preserve"> [87-91].</w:t>
        </w:r>
      </w:hyperlink>
      <w:r w:rsidRPr="00027B5B">
        <w:rPr>
          <w:rFonts w:ascii="Times New Roman" w:hAnsi="Times New Roman" w:cs="Times New Roman"/>
          <w:sz w:val="28"/>
          <w:szCs w:val="28"/>
        </w:rPr>
        <w:t xml:space="preserve"> Electroflotation is found effective in treating palm oil mill effluent</w:t>
      </w:r>
      <w:hyperlink w:anchor="bookmark96" w:tooltip="Current Document" w:history="1">
        <w:r w:rsidRPr="00027B5B">
          <w:rPr>
            <w:rFonts w:ascii="Times New Roman" w:hAnsi="Times New Roman" w:cs="Times New Roman"/>
            <w:sz w:val="28"/>
            <w:szCs w:val="28"/>
          </w:rPr>
          <w:t xml:space="preserve"> [68], </w:t>
        </w:r>
      </w:hyperlink>
      <w:r w:rsidRPr="00027B5B">
        <w:rPr>
          <w:rFonts w:ascii="Times New Roman" w:hAnsi="Times New Roman" w:cs="Times New Roman"/>
          <w:sz w:val="28"/>
          <w:szCs w:val="28"/>
        </w:rPr>
        <w:t>oily wastewater or oil-water emulsion</w:t>
      </w:r>
      <w:hyperlink w:anchor="bookmark88" w:tooltip="Current Document" w:history="1">
        <w:r w:rsidRPr="00027B5B">
          <w:rPr>
            <w:rFonts w:ascii="Times New Roman" w:hAnsi="Times New Roman" w:cs="Times New Roman"/>
            <w:sz w:val="28"/>
            <w:szCs w:val="28"/>
          </w:rPr>
          <w:t xml:space="preserve"> [61,65,66,92,93], </w:t>
        </w:r>
      </w:hyperlink>
      <w:r w:rsidRPr="00027B5B">
        <w:rPr>
          <w:rFonts w:ascii="Times New Roman" w:hAnsi="Times New Roman" w:cs="Times New Roman"/>
          <w:sz w:val="28"/>
          <w:szCs w:val="28"/>
        </w:rPr>
        <w:t xml:space="preserve">spent cooling lubricant </w:t>
      </w:r>
      <w:hyperlink w:anchor="bookmark116" w:tooltip="Current Document" w:history="1">
        <w:r w:rsidRPr="00027B5B">
          <w:rPr>
            <w:rFonts w:ascii="Times New Roman" w:hAnsi="Times New Roman" w:cs="Times New Roman"/>
            <w:sz w:val="28"/>
            <w:szCs w:val="28"/>
          </w:rPr>
          <w:t xml:space="preserve">[94], </w:t>
        </w:r>
      </w:hyperlink>
      <w:r w:rsidRPr="00027B5B">
        <w:rPr>
          <w:rFonts w:ascii="Times New Roman" w:hAnsi="Times New Roman" w:cs="Times New Roman"/>
          <w:sz w:val="28"/>
          <w:szCs w:val="28"/>
        </w:rPr>
        <w:t>wastewater from coke-production</w:t>
      </w:r>
      <w:hyperlink w:anchor="bookmark129" w:tooltip="Current Document" w:history="1">
        <w:r w:rsidRPr="00027B5B">
          <w:rPr>
            <w:rFonts w:ascii="Times New Roman" w:hAnsi="Times New Roman" w:cs="Times New Roman"/>
            <w:sz w:val="28"/>
            <w:szCs w:val="28"/>
          </w:rPr>
          <w:t xml:space="preserve"> [95], </w:t>
        </w:r>
      </w:hyperlink>
      <w:r w:rsidRPr="00027B5B">
        <w:rPr>
          <w:rFonts w:ascii="Times New Roman" w:hAnsi="Times New Roman" w:cs="Times New Roman"/>
          <w:sz w:val="28"/>
          <w:szCs w:val="28"/>
        </w:rPr>
        <w:t>mining wastewater</w:t>
      </w:r>
      <w:hyperlink w:anchor="bookmark95" w:tooltip="Current Document" w:history="1">
        <w:r w:rsidRPr="00027B5B">
          <w:rPr>
            <w:rFonts w:ascii="Times New Roman" w:hAnsi="Times New Roman" w:cs="Times New Roman"/>
            <w:sz w:val="28"/>
            <w:szCs w:val="28"/>
          </w:rPr>
          <w:t xml:space="preserve"> [67], </w:t>
        </w:r>
      </w:hyperlink>
      <w:r w:rsidRPr="00027B5B">
        <w:rPr>
          <w:rFonts w:ascii="Times New Roman" w:hAnsi="Times New Roman" w:cs="Times New Roman"/>
          <w:sz w:val="28"/>
          <w:szCs w:val="28"/>
        </w:rPr>
        <w:t>groundwater</w:t>
      </w:r>
      <w:hyperlink w:anchor="bookmark102" w:tooltip="Current Document" w:history="1">
        <w:r w:rsidRPr="00027B5B">
          <w:rPr>
            <w:rFonts w:ascii="Times New Roman" w:hAnsi="Times New Roman" w:cs="Times New Roman"/>
            <w:sz w:val="28"/>
            <w:szCs w:val="28"/>
          </w:rPr>
          <w:t xml:space="preserve"> [60], </w:t>
        </w:r>
      </w:hyperlink>
      <w:r w:rsidRPr="00027B5B">
        <w:rPr>
          <w:rFonts w:ascii="Times New Roman" w:hAnsi="Times New Roman" w:cs="Times New Roman"/>
          <w:sz w:val="28"/>
          <w:szCs w:val="28"/>
        </w:rPr>
        <w:t>food processing wastewater</w:t>
      </w:r>
      <w:hyperlink w:anchor="bookmark120" w:tooltip="Current Document" w:history="1">
        <w:r w:rsidRPr="00027B5B">
          <w:rPr>
            <w:rFonts w:ascii="Times New Roman" w:hAnsi="Times New Roman" w:cs="Times New Roman"/>
            <w:sz w:val="28"/>
            <w:szCs w:val="28"/>
          </w:rPr>
          <w:t xml:space="preserve"> [96], </w:t>
        </w:r>
      </w:hyperlink>
      <w:r w:rsidRPr="00027B5B">
        <w:rPr>
          <w:rFonts w:ascii="Times New Roman" w:hAnsi="Times New Roman" w:cs="Times New Roman"/>
          <w:sz w:val="28"/>
          <w:szCs w:val="28"/>
        </w:rPr>
        <w:t>fat-containing solutions</w:t>
      </w:r>
      <w:hyperlink w:anchor="bookmark119" w:tooltip="Current Document" w:history="1">
        <w:r w:rsidRPr="00027B5B">
          <w:rPr>
            <w:rFonts w:ascii="Times New Roman" w:hAnsi="Times New Roman" w:cs="Times New Roman"/>
            <w:sz w:val="28"/>
            <w:szCs w:val="28"/>
          </w:rPr>
          <w:t xml:space="preserve"> [97], </w:t>
        </w:r>
      </w:hyperlink>
      <w:r w:rsidRPr="00027B5B">
        <w:rPr>
          <w:rFonts w:ascii="Times New Roman" w:hAnsi="Times New Roman" w:cs="Times New Roman"/>
          <w:sz w:val="28"/>
          <w:szCs w:val="28"/>
        </w:rPr>
        <w:t>restau</w:t>
      </w:r>
      <w:r w:rsidRPr="00027B5B">
        <w:rPr>
          <w:rFonts w:ascii="Times New Roman" w:hAnsi="Times New Roman" w:cs="Times New Roman"/>
          <w:sz w:val="28"/>
          <w:szCs w:val="28"/>
        </w:rPr>
        <w:softHyphen/>
        <w:t>rant wastewater</w:t>
      </w:r>
      <w:hyperlink w:anchor="bookmark103" w:tooltip="Current Document" w:history="1">
        <w:r w:rsidRPr="00027B5B">
          <w:rPr>
            <w:rFonts w:ascii="Times New Roman" w:hAnsi="Times New Roman" w:cs="Times New Roman"/>
            <w:sz w:val="28"/>
            <w:szCs w:val="28"/>
          </w:rPr>
          <w:t xml:space="preserve"> [42] o</w:t>
        </w:r>
      </w:hyperlink>
      <w:r w:rsidRPr="00027B5B">
        <w:rPr>
          <w:rFonts w:ascii="Times New Roman" w:hAnsi="Times New Roman" w:cs="Times New Roman"/>
          <w:sz w:val="28"/>
          <w:szCs w:val="28"/>
        </w:rPr>
        <w:t>r food industry effluents</w:t>
      </w:r>
      <w:hyperlink w:anchor="bookmark121" w:tooltip="Current Document" w:history="1">
        <w:r w:rsidRPr="00027B5B">
          <w:rPr>
            <w:rFonts w:ascii="Times New Roman" w:hAnsi="Times New Roman" w:cs="Times New Roman"/>
            <w:sz w:val="28"/>
            <w:szCs w:val="28"/>
          </w:rPr>
          <w:t xml:space="preserve"> [98],</w:t>
        </w:r>
      </w:hyperlink>
      <w:r w:rsidRPr="00027B5B">
        <w:rPr>
          <w:rFonts w:ascii="Times New Roman" w:hAnsi="Times New Roman" w:cs="Times New Roman"/>
          <w:sz w:val="28"/>
          <w:szCs w:val="28"/>
        </w:rPr>
        <w:t xml:space="preserve"> dairy wastewater</w:t>
      </w:r>
      <w:hyperlink w:anchor="bookmark123" w:tooltip="Current Document" w:history="1">
        <w:r w:rsidRPr="00027B5B">
          <w:rPr>
            <w:rFonts w:ascii="Times New Roman" w:hAnsi="Times New Roman" w:cs="Times New Roman"/>
            <w:sz w:val="28"/>
            <w:szCs w:val="28"/>
          </w:rPr>
          <w:t xml:space="preserve"> [99], </w:t>
        </w:r>
      </w:hyperlink>
      <w:r w:rsidRPr="00027B5B">
        <w:rPr>
          <w:rFonts w:ascii="Times New Roman" w:hAnsi="Times New Roman" w:cs="Times New Roman"/>
          <w:sz w:val="28"/>
          <w:szCs w:val="28"/>
        </w:rPr>
        <w:t>urban sewage</w:t>
      </w:r>
      <w:hyperlink w:anchor="bookmark117" w:tooltip="Current Document" w:history="1">
        <w:r w:rsidRPr="00027B5B">
          <w:rPr>
            <w:rFonts w:ascii="Times New Roman" w:hAnsi="Times New Roman" w:cs="Times New Roman"/>
            <w:sz w:val="28"/>
            <w:szCs w:val="28"/>
          </w:rPr>
          <w:t xml:space="preserve"> [80], </w:t>
        </w:r>
      </w:hyperlink>
      <w:r w:rsidRPr="00027B5B">
        <w:rPr>
          <w:rFonts w:ascii="Times New Roman" w:hAnsi="Times New Roman" w:cs="Times New Roman"/>
          <w:sz w:val="28"/>
          <w:szCs w:val="28"/>
        </w:rPr>
        <w:t xml:space="preserve">pit waters </w:t>
      </w:r>
      <w:hyperlink w:anchor="bookmark124" w:tooltip="Current Document" w:history="1">
        <w:r w:rsidRPr="00027B5B">
          <w:rPr>
            <w:rFonts w:ascii="Times New Roman" w:hAnsi="Times New Roman" w:cs="Times New Roman"/>
            <w:sz w:val="28"/>
            <w:szCs w:val="28"/>
          </w:rPr>
          <w:t xml:space="preserve">[100], </w:t>
        </w:r>
      </w:hyperlink>
      <w:r w:rsidRPr="00027B5B">
        <w:rPr>
          <w:rFonts w:ascii="Times New Roman" w:hAnsi="Times New Roman" w:cs="Times New Roman"/>
          <w:sz w:val="28"/>
          <w:szCs w:val="28"/>
        </w:rPr>
        <w:t>colloidal particles</w:t>
      </w:r>
      <w:hyperlink w:anchor="bookmark112" w:tooltip="Current Document" w:history="1">
        <w:r w:rsidRPr="00027B5B">
          <w:rPr>
            <w:rFonts w:ascii="Times New Roman" w:hAnsi="Times New Roman" w:cs="Times New Roman"/>
            <w:sz w:val="28"/>
            <w:szCs w:val="28"/>
          </w:rPr>
          <w:t xml:space="preserve"> [54], </w:t>
        </w:r>
      </w:hyperlink>
      <w:r w:rsidRPr="00027B5B">
        <w:rPr>
          <w:rFonts w:ascii="Times New Roman" w:hAnsi="Times New Roman" w:cs="Times New Roman"/>
          <w:sz w:val="28"/>
          <w:szCs w:val="28"/>
        </w:rPr>
        <w:t>heavy metal containing effluents</w:t>
      </w:r>
      <w:hyperlink w:anchor="bookmark131" w:tooltip="Current Document" w:history="1">
        <w:r w:rsidRPr="00027B5B">
          <w:rPr>
            <w:rFonts w:ascii="Times New Roman" w:hAnsi="Times New Roman" w:cs="Times New Roman"/>
            <w:sz w:val="28"/>
            <w:szCs w:val="28"/>
          </w:rPr>
          <w:t xml:space="preserve"> [84,101-103], </w:t>
        </w:r>
      </w:hyperlink>
      <w:r w:rsidRPr="00027B5B">
        <w:rPr>
          <w:rFonts w:ascii="Times New Roman" w:hAnsi="Times New Roman" w:cs="Times New Roman"/>
          <w:sz w:val="28"/>
          <w:szCs w:val="28"/>
        </w:rPr>
        <w:t>gold and silver recover from cyanide solution</w:t>
      </w:r>
      <w:hyperlink w:anchor="bookmark126" w:tooltip="Current Document" w:history="1">
        <w:r w:rsidRPr="00027B5B">
          <w:rPr>
            <w:rFonts w:ascii="Times New Roman" w:hAnsi="Times New Roman" w:cs="Times New Roman"/>
            <w:sz w:val="28"/>
            <w:szCs w:val="28"/>
          </w:rPr>
          <w:t xml:space="preserve"> [104], </w:t>
        </w:r>
      </w:hyperlink>
      <w:r w:rsidRPr="00027B5B">
        <w:rPr>
          <w:rFonts w:ascii="Times New Roman" w:hAnsi="Times New Roman" w:cs="Times New Roman"/>
          <w:sz w:val="28"/>
          <w:szCs w:val="28"/>
        </w:rPr>
        <w:t>and many other water and wastewaters</w:t>
      </w:r>
      <w:hyperlink w:anchor="bookmark83" w:tooltip="Current Document" w:history="1">
        <w:r w:rsidRPr="00027B5B">
          <w:rPr>
            <w:rFonts w:ascii="Times New Roman" w:hAnsi="Times New Roman" w:cs="Times New Roman"/>
            <w:sz w:val="28"/>
            <w:szCs w:val="28"/>
          </w:rPr>
          <w:t xml:space="preserve"> [56,65,83].</w:t>
        </w:r>
      </w:hyperlink>
    </w:p>
    <w:p w:rsidR="00027B5B" w:rsidRPr="00027B5B" w:rsidRDefault="00027B5B" w:rsidP="00027B5B">
      <w:pPr>
        <w:tabs>
          <w:tab w:val="left" w:pos="314"/>
        </w:tabs>
        <w:ind w:firstLine="724"/>
        <w:jc w:val="both"/>
        <w:outlineLvl w:val="6"/>
        <w:rPr>
          <w:rFonts w:ascii="Times New Roman" w:hAnsi="Times New Roman" w:cs="Times New Roman"/>
          <w:color w:val="auto"/>
          <w:sz w:val="28"/>
          <w:szCs w:val="28"/>
          <w:lang w:eastAsia="ru-RU"/>
        </w:rPr>
      </w:pPr>
      <w:bookmarkStart w:id="7" w:name="bookmark35"/>
      <w:r w:rsidRPr="00027B5B">
        <w:rPr>
          <w:rFonts w:ascii="Times New Roman" w:hAnsi="Times New Roman" w:cs="Times New Roman"/>
          <w:sz w:val="28"/>
          <w:szCs w:val="28"/>
        </w:rPr>
        <w:t>5.</w:t>
      </w:r>
      <w:r w:rsidRPr="00027B5B">
        <w:rPr>
          <w:rFonts w:ascii="Times New Roman" w:hAnsi="Times New Roman" w:cs="Times New Roman"/>
          <w:sz w:val="28"/>
          <w:szCs w:val="28"/>
        </w:rPr>
        <w:tab/>
        <w:t>Electrooxidation (EO)</w:t>
      </w:r>
      <w:bookmarkEnd w:id="7"/>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 xml:space="preserve">Study on electrooxidation for wastewater treatment goes back to the 19th </w:t>
      </w:r>
      <w:r w:rsidRPr="00027B5B">
        <w:rPr>
          <w:rFonts w:ascii="Times New Roman" w:hAnsi="Times New Roman" w:cs="Times New Roman"/>
          <w:sz w:val="28"/>
          <w:szCs w:val="28"/>
        </w:rPr>
        <w:lastRenderedPageBreak/>
        <w:t>century, when electrochemical</w:t>
      </w:r>
    </w:p>
    <w:p w:rsidR="00027B5B" w:rsidRPr="00027B5B" w:rsidRDefault="00027B5B" w:rsidP="00027B5B">
      <w:pPr>
        <w:ind w:firstLine="724"/>
        <w:jc w:val="both"/>
        <w:rPr>
          <w:rFonts w:ascii="Times New Roman" w:hAnsi="Times New Roman" w:cs="Times New Roman"/>
          <w:color w:val="auto"/>
          <w:sz w:val="28"/>
          <w:szCs w:val="28"/>
          <w:lang w:eastAsia="ru-RU"/>
        </w:rPr>
      </w:pPr>
      <w:proofErr w:type="gramStart"/>
      <w:r w:rsidRPr="00027B5B">
        <w:rPr>
          <w:rFonts w:ascii="Times New Roman" w:hAnsi="Times New Roman" w:cs="Times New Roman"/>
          <w:sz w:val="28"/>
          <w:szCs w:val="28"/>
        </w:rPr>
        <w:t>decomposition</w:t>
      </w:r>
      <w:proofErr w:type="gramEnd"/>
      <w:r w:rsidRPr="00027B5B">
        <w:rPr>
          <w:rFonts w:ascii="Times New Roman" w:hAnsi="Times New Roman" w:cs="Times New Roman"/>
          <w:sz w:val="28"/>
          <w:szCs w:val="28"/>
        </w:rPr>
        <w:t xml:space="preserve"> of cyanide was investigated</w:t>
      </w:r>
      <w:hyperlink w:anchor="bookmark127" w:tooltip="Current Document" w:history="1">
        <w:r w:rsidRPr="00027B5B">
          <w:rPr>
            <w:rFonts w:ascii="Times New Roman" w:hAnsi="Times New Roman" w:cs="Times New Roman"/>
            <w:sz w:val="28"/>
            <w:szCs w:val="28"/>
          </w:rPr>
          <w:t xml:space="preserve"> [105]. </w:t>
        </w:r>
      </w:hyperlink>
      <w:r w:rsidRPr="00027B5B">
        <w:rPr>
          <w:rFonts w:ascii="Times New Roman" w:hAnsi="Times New Roman" w:cs="Times New Roman"/>
          <w:sz w:val="28"/>
          <w:szCs w:val="28"/>
        </w:rPr>
        <w:t>Ex</w:t>
      </w:r>
      <w:r w:rsidRPr="00027B5B">
        <w:rPr>
          <w:rFonts w:ascii="Times New Roman" w:hAnsi="Times New Roman" w:cs="Times New Roman"/>
          <w:sz w:val="28"/>
          <w:szCs w:val="28"/>
        </w:rPr>
        <w:softHyphen/>
        <w:t>tensive investigation of this technology commenced since the late 1970s. During the last two decades, re</w:t>
      </w:r>
      <w:r w:rsidRPr="00027B5B">
        <w:rPr>
          <w:rFonts w:ascii="Times New Roman" w:hAnsi="Times New Roman" w:cs="Times New Roman"/>
          <w:sz w:val="28"/>
          <w:szCs w:val="28"/>
        </w:rPr>
        <w:softHyphen/>
        <w:t>search works have been focused on the efficiency in oxidizing various pollutants on different electrodes, improvement of the electrocatalytic activity and elec</w:t>
      </w:r>
      <w:r w:rsidRPr="00027B5B">
        <w:rPr>
          <w:rFonts w:ascii="Times New Roman" w:hAnsi="Times New Roman" w:cs="Times New Roman"/>
          <w:sz w:val="28"/>
          <w:szCs w:val="28"/>
        </w:rPr>
        <w:softHyphen/>
        <w:t>trochemical stability of electrode materials, investiga</w:t>
      </w:r>
      <w:r w:rsidRPr="00027B5B">
        <w:rPr>
          <w:rFonts w:ascii="Times New Roman" w:hAnsi="Times New Roman" w:cs="Times New Roman"/>
          <w:sz w:val="28"/>
          <w:szCs w:val="28"/>
        </w:rPr>
        <w:softHyphen/>
        <w:t>tion of factors affecting the process performance, and exploration of the mechanisms and kinetics of pol</w:t>
      </w:r>
      <w:r w:rsidRPr="00027B5B">
        <w:rPr>
          <w:rFonts w:ascii="Times New Roman" w:hAnsi="Times New Roman" w:cs="Times New Roman"/>
          <w:sz w:val="28"/>
          <w:szCs w:val="28"/>
        </w:rPr>
        <w:softHyphen/>
        <w:t>lutant degradation. Experimental investigations focus mostly on the behaviors of anodic materials, the effect of cathodic materials was not investigated extensively although Azzam et al.</w:t>
      </w:r>
      <w:hyperlink w:anchor="bookmark128" w:tooltip="Current Document" w:history="1">
        <w:r w:rsidRPr="00027B5B">
          <w:rPr>
            <w:rFonts w:ascii="Times New Roman" w:hAnsi="Times New Roman" w:cs="Times New Roman"/>
            <w:sz w:val="28"/>
            <w:szCs w:val="28"/>
          </w:rPr>
          <w:t xml:space="preserve"> [106] h</w:t>
        </w:r>
      </w:hyperlink>
      <w:r w:rsidRPr="00027B5B">
        <w:rPr>
          <w:rFonts w:ascii="Times New Roman" w:hAnsi="Times New Roman" w:cs="Times New Roman"/>
          <w:sz w:val="28"/>
          <w:szCs w:val="28"/>
        </w:rPr>
        <w:t>ave found a consider</w:t>
      </w:r>
      <w:r w:rsidRPr="00027B5B">
        <w:rPr>
          <w:rFonts w:ascii="Times New Roman" w:hAnsi="Times New Roman" w:cs="Times New Roman"/>
          <w:sz w:val="28"/>
          <w:szCs w:val="28"/>
        </w:rPr>
        <w:softHyphen/>
        <w:t>able influence of the counter electrode material in the anodic destruction of 4-Cl phenol.</w:t>
      </w:r>
    </w:p>
    <w:p w:rsidR="00027B5B" w:rsidRPr="00027B5B" w:rsidRDefault="00027B5B" w:rsidP="00027B5B">
      <w:pPr>
        <w:tabs>
          <w:tab w:val="left" w:pos="409"/>
        </w:tabs>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5.1.</w:t>
      </w:r>
      <w:r w:rsidRPr="00027B5B">
        <w:rPr>
          <w:rFonts w:ascii="Times New Roman" w:hAnsi="Times New Roman" w:cs="Times New Roman"/>
          <w:sz w:val="28"/>
          <w:szCs w:val="28"/>
        </w:rPr>
        <w:tab/>
        <w:t>Indirect electrooxidation processes</w:t>
      </w:r>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Electrooxidation of pollutants can be fulfilled through different ways. Use of the chlorine and hypo</w:t>
      </w:r>
      <w:r w:rsidRPr="00027B5B">
        <w:rPr>
          <w:rFonts w:ascii="Times New Roman" w:hAnsi="Times New Roman" w:cs="Times New Roman"/>
          <w:sz w:val="28"/>
          <w:szCs w:val="28"/>
        </w:rPr>
        <w:softHyphen/>
        <w:t>chlorite generated anodically to destroy pollutants is well known. This technique can effectively oxidize many inorganic and organic pollutants at high chlo</w:t>
      </w:r>
      <w:r w:rsidRPr="00027B5B">
        <w:rPr>
          <w:rFonts w:ascii="Times New Roman" w:hAnsi="Times New Roman" w:cs="Times New Roman"/>
          <w:sz w:val="28"/>
          <w:szCs w:val="28"/>
        </w:rPr>
        <w:softHyphen/>
        <w:t>ride concentration, typically larger than 3 g/l</w:t>
      </w:r>
      <w:hyperlink w:anchor="bookmark109" w:tooltip="Current Document" w:history="1">
        <w:r w:rsidRPr="00027B5B">
          <w:rPr>
            <w:rFonts w:ascii="Times New Roman" w:hAnsi="Times New Roman" w:cs="Times New Roman"/>
            <w:sz w:val="28"/>
            <w:szCs w:val="28"/>
          </w:rPr>
          <w:t xml:space="preserve"> </w:t>
        </w:r>
        <w:r w:rsidRPr="00027B5B">
          <w:rPr>
            <w:rFonts w:ascii="Times New Roman" w:hAnsi="Times New Roman" w:cs="Times New Roman"/>
            <w:sz w:val="28"/>
            <w:szCs w:val="28"/>
            <w:lang w:val="en-GB" w:eastAsia="ru-RU"/>
          </w:rPr>
          <w:t>[50,107</w:t>
        </w:r>
        <w:r w:rsidRPr="00027B5B">
          <w:rPr>
            <w:rFonts w:ascii="Times New Roman" w:hAnsi="Times New Roman" w:cs="Times New Roman"/>
            <w:sz w:val="28"/>
            <w:szCs w:val="28"/>
            <w:lang w:val="en-GB" w:eastAsia="ru-RU"/>
          </w:rPr>
          <w:softHyphen/>
        </w:r>
      </w:hyperlink>
      <w:hyperlink w:anchor="bookmark109" w:tooltip="Current Document" w:history="1">
        <w:r w:rsidRPr="00027B5B">
          <w:rPr>
            <w:rFonts w:ascii="Times New Roman" w:hAnsi="Times New Roman" w:cs="Times New Roman"/>
            <w:sz w:val="28"/>
            <w:szCs w:val="28"/>
            <w:lang w:val="en-GB" w:eastAsia="ru-RU"/>
          </w:rPr>
          <w:t>113].</w:t>
        </w:r>
        <w:r w:rsidRPr="00027B5B">
          <w:rPr>
            <w:rFonts w:ascii="Times New Roman" w:hAnsi="Times New Roman" w:cs="Times New Roman"/>
            <w:sz w:val="28"/>
            <w:szCs w:val="28"/>
          </w:rPr>
          <w:t xml:space="preserve"> </w:t>
        </w:r>
      </w:hyperlink>
      <w:r w:rsidRPr="00027B5B">
        <w:rPr>
          <w:rFonts w:ascii="Times New Roman" w:hAnsi="Times New Roman" w:cs="Times New Roman"/>
          <w:sz w:val="28"/>
          <w:szCs w:val="28"/>
        </w:rPr>
        <w:t>The possible formation of chlorinated organic compounds intermediates or final products hinders the wide application of this technique</w:t>
      </w:r>
      <w:hyperlink w:anchor="bookmark136" w:tooltip="Current Document" w:history="1">
        <w:r w:rsidRPr="00027B5B">
          <w:rPr>
            <w:rFonts w:ascii="Times New Roman" w:hAnsi="Times New Roman" w:cs="Times New Roman"/>
            <w:sz w:val="28"/>
            <w:szCs w:val="28"/>
          </w:rPr>
          <w:t xml:space="preserve"> [109]. </w:t>
        </w:r>
      </w:hyperlink>
      <w:r w:rsidRPr="00027B5B">
        <w:rPr>
          <w:rFonts w:ascii="Times New Roman" w:hAnsi="Times New Roman" w:cs="Times New Roman"/>
          <w:sz w:val="28"/>
          <w:szCs w:val="28"/>
        </w:rPr>
        <w:t>More</w:t>
      </w:r>
      <w:r w:rsidRPr="00027B5B">
        <w:rPr>
          <w:rFonts w:ascii="Times New Roman" w:hAnsi="Times New Roman" w:cs="Times New Roman"/>
          <w:sz w:val="28"/>
          <w:szCs w:val="28"/>
        </w:rPr>
        <w:softHyphen/>
        <w:t>over, if the chloride content in the raw wastewater is low, a large amount of salt must be added to increase the process efficiency</w:t>
      </w:r>
      <w:hyperlink w:anchor="bookmark142" w:tooltip="Current Document" w:history="1">
        <w:r w:rsidRPr="00027B5B">
          <w:rPr>
            <w:rFonts w:ascii="Times New Roman" w:hAnsi="Times New Roman" w:cs="Times New Roman"/>
            <w:sz w:val="28"/>
            <w:szCs w:val="28"/>
          </w:rPr>
          <w:t xml:space="preserve"> [113-116].</w:t>
        </w:r>
      </w:hyperlink>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Pollutants can also be degraded by the electro</w:t>
      </w:r>
      <w:r w:rsidRPr="00027B5B">
        <w:rPr>
          <w:rFonts w:ascii="Times New Roman" w:hAnsi="Times New Roman" w:cs="Times New Roman"/>
          <w:sz w:val="28"/>
          <w:szCs w:val="28"/>
        </w:rPr>
        <w:softHyphen/>
        <w:t>chemically generated hydrogen peroxide</w:t>
      </w:r>
      <w:hyperlink w:anchor="bookmark143" w:tooltip="Current Document" w:history="1">
        <w:r w:rsidRPr="00027B5B">
          <w:rPr>
            <w:rFonts w:ascii="Times New Roman" w:hAnsi="Times New Roman" w:cs="Times New Roman"/>
            <w:sz w:val="28"/>
            <w:szCs w:val="28"/>
          </w:rPr>
          <w:t xml:space="preserve"> [117-122].</w:t>
        </w:r>
      </w:hyperlink>
      <w:r w:rsidRPr="00027B5B">
        <w:rPr>
          <w:rFonts w:ascii="Times New Roman" w:hAnsi="Times New Roman" w:cs="Times New Roman"/>
          <w:sz w:val="28"/>
          <w:szCs w:val="28"/>
        </w:rPr>
        <w:t xml:space="preserve"> In this system, the cathode is made of porous carbon- polytetrefluorethylene (PTFE) with oxygen feeding and the anode is either Pb/PbO</w:t>
      </w:r>
      <w:r w:rsidRPr="00027B5B">
        <w:rPr>
          <w:rFonts w:ascii="Times New Roman" w:hAnsi="Times New Roman" w:cs="Times New Roman"/>
          <w:sz w:val="28"/>
          <w:szCs w:val="28"/>
          <w:vertAlign w:val="subscript"/>
        </w:rPr>
        <w:t>2</w:t>
      </w:r>
      <w:r w:rsidRPr="00027B5B">
        <w:rPr>
          <w:rFonts w:ascii="Times New Roman" w:hAnsi="Times New Roman" w:cs="Times New Roman"/>
          <w:sz w:val="28"/>
          <w:szCs w:val="28"/>
        </w:rPr>
        <w:t>, Ti/Pt/PbO</w:t>
      </w:r>
      <w:r w:rsidRPr="00027B5B">
        <w:rPr>
          <w:rFonts w:ascii="Times New Roman" w:hAnsi="Times New Roman" w:cs="Times New Roman"/>
          <w:sz w:val="28"/>
          <w:szCs w:val="28"/>
          <w:vertAlign w:val="subscript"/>
        </w:rPr>
        <w:t>2</w:t>
      </w:r>
      <w:r w:rsidRPr="00027B5B">
        <w:rPr>
          <w:rFonts w:ascii="Times New Roman" w:hAnsi="Times New Roman" w:cs="Times New Roman"/>
          <w:sz w:val="28"/>
          <w:szCs w:val="28"/>
        </w:rPr>
        <w:t>, or Pt. Fe</w:t>
      </w:r>
      <w:r w:rsidRPr="00027B5B">
        <w:rPr>
          <w:rFonts w:ascii="Times New Roman" w:hAnsi="Times New Roman" w:cs="Times New Roman"/>
          <w:sz w:val="28"/>
          <w:szCs w:val="28"/>
          <w:vertAlign w:val="superscript"/>
        </w:rPr>
        <w:t>2</w:t>
      </w:r>
      <w:r w:rsidRPr="00027B5B">
        <w:rPr>
          <w:rFonts w:ascii="Times New Roman" w:hAnsi="Times New Roman" w:cs="Times New Roman"/>
          <w:sz w:val="28"/>
          <w:szCs w:val="28"/>
        </w:rPr>
        <w:t>+ salts can be added into the wastewater or formed in-situ from a dissolving iron anode</w:t>
      </w:r>
      <w:hyperlink w:anchor="bookmark145" w:tooltip="Current Document" w:history="1">
        <w:r w:rsidRPr="00027B5B">
          <w:rPr>
            <w:rFonts w:ascii="Times New Roman" w:hAnsi="Times New Roman" w:cs="Times New Roman"/>
            <w:sz w:val="28"/>
            <w:szCs w:val="28"/>
          </w:rPr>
          <w:t xml:space="preserve"> [120] t</w:t>
        </w:r>
      </w:hyperlink>
      <w:r w:rsidRPr="00027B5B">
        <w:rPr>
          <w:rFonts w:ascii="Times New Roman" w:hAnsi="Times New Roman" w:cs="Times New Roman"/>
          <w:sz w:val="28"/>
          <w:szCs w:val="28"/>
        </w:rPr>
        <w:t xml:space="preserve">o </w:t>
      </w:r>
      <w:proofErr w:type="gramStart"/>
      <w:r w:rsidRPr="00027B5B">
        <w:rPr>
          <w:rFonts w:ascii="Times New Roman" w:hAnsi="Times New Roman" w:cs="Times New Roman"/>
          <w:sz w:val="28"/>
          <w:szCs w:val="28"/>
        </w:rPr>
        <w:t>make</w:t>
      </w:r>
      <w:proofErr w:type="gramEnd"/>
      <w:r w:rsidRPr="00027B5B">
        <w:rPr>
          <w:rFonts w:ascii="Times New Roman" w:hAnsi="Times New Roman" w:cs="Times New Roman"/>
          <w:sz w:val="28"/>
          <w:szCs w:val="28"/>
        </w:rPr>
        <w:t xml:space="preserve"> an electro-Fenton reaction. The degradation of aniline was found to be about 95% when UV irradiation is employed also. Simply sparging oxygen into the solu</w:t>
      </w:r>
      <w:r w:rsidRPr="00027B5B">
        <w:rPr>
          <w:rFonts w:ascii="Times New Roman" w:hAnsi="Times New Roman" w:cs="Times New Roman"/>
          <w:sz w:val="28"/>
          <w:szCs w:val="28"/>
        </w:rPr>
        <w:softHyphen/>
        <w:t>tion also helps the removal of aniline when electricity is on</w:t>
      </w:r>
      <w:hyperlink w:anchor="bookmark144" w:tooltip="Current Document" w:history="1">
        <w:r w:rsidRPr="00027B5B">
          <w:rPr>
            <w:rFonts w:ascii="Times New Roman" w:hAnsi="Times New Roman" w:cs="Times New Roman"/>
            <w:sz w:val="28"/>
            <w:szCs w:val="28"/>
          </w:rPr>
          <w:t xml:space="preserve"> [119]. </w:t>
        </w:r>
      </w:hyperlink>
      <w:r w:rsidRPr="00027B5B">
        <w:rPr>
          <w:rFonts w:ascii="Times New Roman" w:hAnsi="Times New Roman" w:cs="Times New Roman"/>
          <w:sz w:val="28"/>
          <w:szCs w:val="28"/>
        </w:rPr>
        <w:t>The electrically generated ozone is also reported for wastewater treatment</w:t>
      </w:r>
      <w:hyperlink w:anchor="bookmark148" w:tooltip="Current Document" w:history="1">
        <w:r w:rsidRPr="00027B5B">
          <w:rPr>
            <w:rFonts w:ascii="Times New Roman" w:hAnsi="Times New Roman" w:cs="Times New Roman"/>
            <w:sz w:val="28"/>
            <w:szCs w:val="28"/>
          </w:rPr>
          <w:t xml:space="preserve"> [123,124].</w:t>
        </w:r>
      </w:hyperlink>
    </w:p>
    <w:p w:rsidR="00027B5B" w:rsidRPr="00027B5B" w:rsidRDefault="00027B5B" w:rsidP="00027B5B">
      <w:pPr>
        <w:tabs>
          <w:tab w:val="left" w:pos="274"/>
        </w:tabs>
        <w:ind w:firstLine="724"/>
        <w:jc w:val="both"/>
        <w:outlineLvl w:val="6"/>
        <w:rPr>
          <w:rFonts w:ascii="Times New Roman" w:hAnsi="Times New Roman" w:cs="Times New Roman"/>
          <w:color w:val="auto"/>
          <w:sz w:val="28"/>
          <w:szCs w:val="28"/>
          <w:lang w:eastAsia="ru-RU"/>
        </w:rPr>
      </w:pPr>
      <w:bookmarkStart w:id="8" w:name="bookmark49"/>
      <w:r w:rsidRPr="00027B5B">
        <w:rPr>
          <w:rFonts w:ascii="Times New Roman" w:hAnsi="Times New Roman" w:cs="Times New Roman"/>
          <w:sz w:val="28"/>
          <w:szCs w:val="28"/>
        </w:rPr>
        <w:t>6.</w:t>
      </w:r>
      <w:r w:rsidRPr="00027B5B">
        <w:rPr>
          <w:rFonts w:ascii="Times New Roman" w:hAnsi="Times New Roman" w:cs="Times New Roman"/>
          <w:sz w:val="28"/>
          <w:szCs w:val="28"/>
        </w:rPr>
        <w:tab/>
        <w:t>Summary</w:t>
      </w:r>
      <w:bookmarkEnd w:id="8"/>
    </w:p>
    <w:p w:rsidR="00027B5B" w:rsidRPr="00027B5B" w:rsidRDefault="00027B5B" w:rsidP="00027B5B">
      <w:pPr>
        <w:ind w:firstLine="724"/>
        <w:jc w:val="both"/>
        <w:rPr>
          <w:rFonts w:ascii="Times New Roman" w:hAnsi="Times New Roman" w:cs="Times New Roman"/>
          <w:color w:val="auto"/>
          <w:sz w:val="28"/>
          <w:szCs w:val="28"/>
          <w:lang w:eastAsia="ru-RU"/>
        </w:rPr>
      </w:pPr>
      <w:r w:rsidRPr="00027B5B">
        <w:rPr>
          <w:rFonts w:ascii="Times New Roman" w:hAnsi="Times New Roman" w:cs="Times New Roman"/>
          <w:sz w:val="28"/>
          <w:szCs w:val="28"/>
        </w:rPr>
        <w:t>Electrochemical technologies have been investi</w:t>
      </w:r>
      <w:r w:rsidRPr="00027B5B">
        <w:rPr>
          <w:rFonts w:ascii="Times New Roman" w:hAnsi="Times New Roman" w:cs="Times New Roman"/>
          <w:sz w:val="28"/>
          <w:szCs w:val="28"/>
        </w:rPr>
        <w:softHyphen/>
        <w:t>gated as the effluent treatment processes for over a century. Fundamental as well as engineering re</w:t>
      </w:r>
      <w:r w:rsidRPr="00027B5B">
        <w:rPr>
          <w:rFonts w:ascii="Times New Roman" w:hAnsi="Times New Roman" w:cs="Times New Roman"/>
          <w:sz w:val="28"/>
          <w:szCs w:val="28"/>
        </w:rPr>
        <w:softHyphen/>
        <w:t>searches have established the electrochemical de</w:t>
      </w:r>
      <w:r w:rsidRPr="00027B5B">
        <w:rPr>
          <w:rFonts w:ascii="Times New Roman" w:hAnsi="Times New Roman" w:cs="Times New Roman"/>
          <w:sz w:val="28"/>
          <w:szCs w:val="28"/>
        </w:rPr>
        <w:softHyphen/>
        <w:t>position technology in metal recovery or heavy metal-effluent treatment. Electrocoagulation has been used industrially and demonstrated its superior per</w:t>
      </w:r>
      <w:r w:rsidRPr="00027B5B">
        <w:rPr>
          <w:rFonts w:ascii="Times New Roman" w:hAnsi="Times New Roman" w:cs="Times New Roman"/>
          <w:sz w:val="28"/>
          <w:szCs w:val="28"/>
        </w:rPr>
        <w:softHyphen/>
        <w:t>formances in treating effluents containing suspended solids, oil and grease, and even organic or inorganic pollutants that can be flocculated. Electroflotation is widely used in the mining industries and is finding increasing applications in wastewater treatment. The uniform and tiny sized bubbles-generated electrically give much better performance than either dissolved air flotation, sedimentation or even impeller flotation. This process is compact and easy to facilitate with automatic control. With the invention of stable, ac</w:t>
      </w:r>
      <w:r w:rsidRPr="00027B5B">
        <w:rPr>
          <w:rFonts w:ascii="Times New Roman" w:hAnsi="Times New Roman" w:cs="Times New Roman"/>
          <w:sz w:val="28"/>
          <w:szCs w:val="28"/>
        </w:rPr>
        <w:softHyphen/>
        <w:t>tive and cheap materials for oxygen evolution, this technology will gradually replace the conventional flotation techniques. Indirect oxidation is still a viable technology for treating toxic or biorefractory pollu</w:t>
      </w:r>
      <w:r w:rsidRPr="00027B5B">
        <w:rPr>
          <w:rFonts w:ascii="Times New Roman" w:hAnsi="Times New Roman" w:cs="Times New Roman"/>
          <w:sz w:val="28"/>
          <w:szCs w:val="28"/>
        </w:rPr>
        <w:softHyphen/>
        <w:t xml:space="preserve">tants although there are concerns about the formation of chlotinated intermediates in the </w:t>
      </w:r>
      <w:r w:rsidRPr="00027B5B">
        <w:rPr>
          <w:rFonts w:ascii="Times New Roman" w:hAnsi="Times New Roman" w:cs="Times New Roman"/>
          <w:sz w:val="28"/>
          <w:szCs w:val="28"/>
        </w:rPr>
        <w:lastRenderedPageBreak/>
        <w:t>case of using chlo</w:t>
      </w:r>
      <w:r w:rsidRPr="00027B5B">
        <w:rPr>
          <w:rFonts w:ascii="Times New Roman" w:hAnsi="Times New Roman" w:cs="Times New Roman"/>
          <w:sz w:val="28"/>
          <w:szCs w:val="28"/>
        </w:rPr>
        <w:softHyphen/>
        <w:t>rine ions or about the complicated facilities in the case of using electrically formed hydrogen peroxide or ozone. Direct anodic oxidation represents one of the simplest technologies in the pollutant mineral</w:t>
      </w:r>
      <w:r w:rsidRPr="00027B5B">
        <w:rPr>
          <w:rFonts w:ascii="Times New Roman" w:hAnsi="Times New Roman" w:cs="Times New Roman"/>
          <w:sz w:val="28"/>
          <w:szCs w:val="28"/>
        </w:rPr>
        <w:softHyphen/>
        <w:t>ization provided the anode materials are stable and have high overpotential of oxygen evolution. The investigation of various materials so far shows that titanium or other noble metal-based boron-doped dia</w:t>
      </w:r>
      <w:r w:rsidRPr="00027B5B">
        <w:rPr>
          <w:rFonts w:ascii="Times New Roman" w:hAnsi="Times New Roman" w:cs="Times New Roman"/>
          <w:sz w:val="28"/>
          <w:szCs w:val="28"/>
        </w:rPr>
        <w:softHyphen/>
        <w:t>mond film is the candidate for industrial application. It has the widest window for water split and is inert in tough situations. Further improvement in its stability in electrochemical application is requir</w:t>
      </w:r>
      <w:bookmarkStart w:id="9" w:name="bookmark53"/>
      <w:r w:rsidRPr="00027B5B">
        <w:rPr>
          <w:rFonts w:ascii="Times New Roman" w:hAnsi="Times New Roman" w:cs="Times New Roman"/>
          <w:sz w:val="28"/>
          <w:szCs w:val="28"/>
        </w:rPr>
        <w:t>ed be</w:t>
      </w:r>
      <w:bookmarkEnd w:id="9"/>
      <w:r w:rsidRPr="00027B5B">
        <w:rPr>
          <w:rFonts w:ascii="Times New Roman" w:hAnsi="Times New Roman" w:cs="Times New Roman"/>
          <w:sz w:val="28"/>
          <w:szCs w:val="28"/>
        </w:rPr>
        <w:t>fore its industrial acceptance.</w:t>
      </w:r>
    </w:p>
    <w:p w:rsidR="00027B5B" w:rsidRPr="00723855" w:rsidRDefault="00027B5B" w:rsidP="00027B5B"/>
    <w:p w:rsidR="00027B5B" w:rsidRDefault="00027B5B" w:rsidP="00FD025C">
      <w:pPr>
        <w:ind w:firstLine="720"/>
        <w:jc w:val="both"/>
        <w:rPr>
          <w:rFonts w:ascii="Times New Roman" w:hAnsi="Times New Roman" w:cs="Times New Roman"/>
          <w:b/>
          <w:bCs/>
          <w:sz w:val="28"/>
          <w:szCs w:val="28"/>
        </w:rPr>
      </w:pPr>
    </w:p>
    <w:p w:rsidR="00B34391" w:rsidRDefault="00AC4B13" w:rsidP="00FD025C">
      <w:pPr>
        <w:ind w:firstLine="720"/>
        <w:jc w:val="both"/>
        <w:rPr>
          <w:rFonts w:ascii="Times New Roman" w:hAnsi="Times New Roman" w:cs="Times New Roman"/>
          <w:b/>
          <w:bCs/>
          <w:sz w:val="28"/>
          <w:szCs w:val="28"/>
        </w:rPr>
      </w:pPr>
      <w:r w:rsidRPr="00403DFD">
        <w:rPr>
          <w:rFonts w:ascii="Times New Roman" w:hAnsi="Times New Roman" w:cs="Times New Roman"/>
          <w:b/>
          <w:bCs/>
          <w:sz w:val="28"/>
          <w:szCs w:val="28"/>
        </w:rPr>
        <w:t xml:space="preserve"> </w:t>
      </w:r>
      <w:proofErr w:type="gramStart"/>
      <w:r w:rsidRPr="00403DFD">
        <w:rPr>
          <w:rFonts w:ascii="Times New Roman" w:hAnsi="Times New Roman" w:cs="Times New Roman"/>
          <w:b/>
          <w:bCs/>
          <w:sz w:val="28"/>
          <w:szCs w:val="28"/>
        </w:rPr>
        <w:t>MECHANICAL CLEANING EFFLUENT.</w:t>
      </w:r>
      <w:proofErr w:type="gramEnd"/>
      <w:r w:rsidRPr="00403DFD">
        <w:rPr>
          <w:rFonts w:ascii="Times New Roman" w:hAnsi="Times New Roman" w:cs="Times New Roman"/>
          <w:b/>
          <w:bCs/>
          <w:sz w:val="28"/>
          <w:szCs w:val="28"/>
        </w:rPr>
        <w:t xml:space="preserve"> CLASSIFICATION OF BUILDING STRUCTURES AND THEIR WORKING PRINCIPLE </w:t>
      </w:r>
      <w:bookmarkEnd w:id="4"/>
    </w:p>
    <w:p w:rsidR="006834D3" w:rsidRDefault="006834D3" w:rsidP="009C6833">
      <w:pPr>
        <w:numPr>
          <w:ilvl w:val="0"/>
          <w:numId w:val="21"/>
        </w:numPr>
        <w:jc w:val="both"/>
        <w:rPr>
          <w:rFonts w:ascii="Times New Roman" w:hAnsi="Times New Roman" w:cs="Times New Roman"/>
          <w:sz w:val="28"/>
          <w:szCs w:val="28"/>
          <w:lang w:val="kk-KZ"/>
        </w:rPr>
      </w:pPr>
      <w:r w:rsidRPr="00B34391">
        <w:rPr>
          <w:rFonts w:ascii="Times New Roman" w:hAnsi="Times New Roman" w:cs="Times New Roman"/>
          <w:sz w:val="28"/>
          <w:szCs w:val="28"/>
        </w:rPr>
        <w:t xml:space="preserve">Drinking water standards </w:t>
      </w:r>
    </w:p>
    <w:p w:rsidR="006834D3" w:rsidRDefault="006834D3" w:rsidP="009C6833">
      <w:pPr>
        <w:numPr>
          <w:ilvl w:val="0"/>
          <w:numId w:val="21"/>
        </w:numPr>
        <w:jc w:val="both"/>
        <w:rPr>
          <w:rFonts w:ascii="Times New Roman" w:hAnsi="Times New Roman" w:cs="Times New Roman"/>
          <w:sz w:val="28"/>
          <w:szCs w:val="28"/>
          <w:lang w:val="kk-KZ"/>
        </w:rPr>
      </w:pPr>
      <w:r w:rsidRPr="00B34391">
        <w:rPr>
          <w:rFonts w:ascii="Times New Roman" w:hAnsi="Times New Roman" w:cs="Times New Roman"/>
          <w:sz w:val="28"/>
          <w:szCs w:val="28"/>
        </w:rPr>
        <w:t xml:space="preserve">The Clean Water Act </w:t>
      </w:r>
    </w:p>
    <w:p w:rsidR="006834D3" w:rsidRDefault="006834D3" w:rsidP="009C6833">
      <w:pPr>
        <w:numPr>
          <w:ilvl w:val="0"/>
          <w:numId w:val="21"/>
        </w:numPr>
        <w:jc w:val="both"/>
        <w:rPr>
          <w:rFonts w:ascii="Times New Roman" w:hAnsi="Times New Roman" w:cs="Times New Roman"/>
          <w:sz w:val="28"/>
          <w:szCs w:val="28"/>
          <w:lang w:val="kk-KZ"/>
        </w:rPr>
      </w:pPr>
      <w:r w:rsidRPr="00B34391">
        <w:rPr>
          <w:rFonts w:ascii="Times New Roman" w:hAnsi="Times New Roman" w:cs="Times New Roman"/>
          <w:sz w:val="28"/>
          <w:szCs w:val="28"/>
        </w:rPr>
        <w:t xml:space="preserve">Three issues </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Drinking water standards</w:t>
      </w:r>
      <w:r w:rsidRPr="00B34391">
        <w:rPr>
          <w:rFonts w:ascii="Times New Roman" w:hAnsi="Times New Roman" w:cs="Times New Roman"/>
          <w:sz w:val="28"/>
          <w:szCs w:val="28"/>
        </w:rPr>
        <w:t xml:space="preserve"> are not the only regulations we need to comply with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Today’s Clean Water Act has its origins from the late 1940s. The original 1948 statute (Chapter 758; PL 845), the Water Pollution Control Act, authorized the Surgeon General of the Public Health Service, in cooperation with other federal, state, and local entities, to prepare comprehensive programs for eliminating or reducing the pollution of interstate waters and tributaries and improving the sanitary condition of surface and underground waters. Since 1948, the original statute has been amended extensively to authorize additional water quality programs, standards and procedures to govern allowable discharges, and funding for construction grants or general programs. Amendments in other years provided for continued authority to conduct program activities or administrative changes to related activities. This legislation was originally enacted as the Federal Water Pollution Control Act of 1972, and was amended in 1977 and renamed the Clean Water Act. It was reauthorized in 1991.</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The Clean Water Act</w:t>
      </w:r>
      <w:r w:rsidRPr="00B34391">
        <w:rPr>
          <w:rFonts w:ascii="Times New Roman" w:hAnsi="Times New Roman" w:cs="Times New Roman"/>
          <w:sz w:val="28"/>
          <w:szCs w:val="28"/>
        </w:rPr>
        <w:t xml:space="preserve"> strives to restore and maintain the chemical, physical, and biological integrity of the nation's water. The act sets up a system of water quality standards, discharge limitations, and permits. If a project may result in the placement of material into waters, a Corps of Engineers' Dredge and Fill Permit (Section 404) may be required. The permit also pertains to activities in wetlands and riparian areas. Certain Federal projects may be exempt from the requirements of Section 404, if the conditions set forth in section 404(r) are met. Before either a National Pollutant Discharge Elimination System (NPDES) (Section 402) or Section 404 permit can be issued, the applicant must obtain a Section 401 certification. This declaration states that any discharge complies with all applicable effluent limitations and water quality standards.</w:t>
      </w:r>
    </w:p>
    <w:p w:rsidR="00B34391" w:rsidRPr="00B34391" w:rsidRDefault="00B34391" w:rsidP="00B34391">
      <w:pPr>
        <w:ind w:firstLine="720"/>
        <w:jc w:val="both"/>
        <w:rPr>
          <w:rFonts w:ascii="Times New Roman" w:hAnsi="Times New Roman" w:cs="Times New Roman"/>
          <w:sz w:val="28"/>
          <w:szCs w:val="28"/>
        </w:rPr>
      </w:pPr>
      <w:proofErr w:type="gramStart"/>
      <w:r w:rsidRPr="00B34391">
        <w:rPr>
          <w:rFonts w:ascii="Times New Roman" w:hAnsi="Times New Roman" w:cs="Times New Roman"/>
          <w:sz w:val="28"/>
          <w:szCs w:val="28"/>
        </w:rPr>
        <w:t>If the water quality of a water body is potentially affected by a proposed action (e.g., construction of a wastewater treatment plant), a NPDES permit may be required.</w:t>
      </w:r>
      <w:proofErr w:type="gramEnd"/>
      <w:r w:rsidRPr="00B34391">
        <w:rPr>
          <w:rFonts w:ascii="Times New Roman" w:hAnsi="Times New Roman" w:cs="Times New Roman"/>
          <w:sz w:val="28"/>
          <w:szCs w:val="28"/>
        </w:rPr>
        <w:t xml:space="preserve"> The Environmental Protection Agency is responsible for this program; however, in most cases, has turned this responsibility over to the states as long as </w:t>
      </w:r>
      <w:r w:rsidRPr="00B34391">
        <w:rPr>
          <w:rFonts w:ascii="Times New Roman" w:hAnsi="Times New Roman" w:cs="Times New Roman"/>
          <w:sz w:val="28"/>
          <w:szCs w:val="28"/>
        </w:rPr>
        <w:lastRenderedPageBreak/>
        <w:t>the individual state program is acceptable.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Section 319, Nonpoint Source Management Programs, was added to the Clean Water Act by PL 100-4 to have the states estabhsh nonpoint source management plans designed. Section 319 (k) requires each Federal department and agency to allow states to review individual development projects and assistance applications and accommodate, in accordance with Executive Order 12372, the concerns of the state regarding the consistency of these applications or projects with the state nonpoint source pollution management program.</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Congress enacted the most recent major amendments to the Clean Water Act in 1987 (P.L. 100-4). Since then, the EPA, states, and others have been working to implement the many program changes and additions mandated in the law. At issue today, as it has been for some time, is what progress EPA and the states are making. In general, many states and environmental groups fault EPA for delays in issuing guidance and assistance needed to carry out the provisions of the law. EPA and others are critical of states, in turn, for not reaching beyond conventional knowledge and institutional approaches to address their water quality problems. Environmental groups have been criticized for insufficient recognition of EPA's and states' need for flexibility to implement the Act. Finally, Congress has been criticized for not providing adequate funding and resources to meet EPA and state needs.</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Three issues have</w:t>
      </w:r>
      <w:r w:rsidRPr="00B34391">
        <w:rPr>
          <w:rFonts w:ascii="Times New Roman" w:hAnsi="Times New Roman" w:cs="Times New Roman"/>
          <w:sz w:val="28"/>
          <w:szCs w:val="28"/>
        </w:rPr>
        <w:t xml:space="preserve"> predominated recently in connection with implementation of the law. The first involves implementation of requirements under current law for states to develop total maximum daily loads (TMDLs) to restore pollution-impaired waters. The second issue involves the nonpoint pollution management provisions added in 1987. States are developing management programs describing methods that will be used to reduce nonpoint pollution, which may be responsible for as much as 50% of the nation's remaining water quality problems. Most observers agree that implementation of nonpoint source control measures is significantly hindered by lack of resources, including federal assistance. EPA adopted program guidance intended to give states more flexibility and to speed up progress in nonpoint source control. The third issue is funding to construct municipal wastewater treatment plants under the State Revolving Fund provisions of the 1987 amendments. Budgetary constraints on federal aid for wastewater treatment and large remaining funding needs are a continuing concern.</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Since 1993, EPA has begun a number of agency-wide and program-specific reforms focusing on flexibility and "common sense" approaches to regulation. Many of these will affect implementation of water quality programs. In February 1998, the Clinton Administration released a multi-agency Clean Water Action Plan intended to build on the environmental successes of the Act and address the nation's remaining water quality challenges. But a new administration in the White House may alter this. Reauthorization of the Act was on the agenda of the 104th Congress, when the House passed H.R. 961, but no Clean Water Act amendments were enacted. Comprehensive legislation was not introduced in the 105th Congress, and no major House or Senate committee activity occurred. Similarly, no major activity occurred in the 106th Congress, although there was action on </w:t>
      </w:r>
      <w:r w:rsidRPr="00B34391">
        <w:rPr>
          <w:rFonts w:ascii="Times New Roman" w:hAnsi="Times New Roman" w:cs="Times New Roman"/>
          <w:sz w:val="28"/>
          <w:szCs w:val="28"/>
        </w:rPr>
        <w:lastRenderedPageBreak/>
        <w:t>individual program areas within the Act. Recent attention has focused on new EPA rules for the Act's TMDL program. Congressional oversight of the TMDL program is likely in the 107th Congress (see CRS Issue Brief IB 10069, Clean Water Act Issues in the 1071' Congress.)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For our discussions, it is important to recognize that the Federal Water Pollution Control Act, or Clean Water Act, is the principal law governing pollution in the nation's streams, lakes, and estuaries. Originally enacted in 1948, it was totally revised by amendments in 1972 (P.L. 92-500) that gave the Act its current form and spelled out ambitious programs for water quality improvements that are now being put in place by industries and cities. Congress made certain fine-tuning amendments in 1977 (P.L. 95-217) and 1981 (P.L. 97-117). The Act consists of two major parts: regulatory provisions that impose progressively more stringent requirements on industries and cities in order to meet the statutory goal of zero discharge of pollutants, and provisions that authorize federal financial assistance for municipal wastewater treatment construction. Industries were to meet pollution control limits first by use of Best Practicable Technology (BPTs) and later by improved Best Available Technology (BAT). Cities were to achieve secondary treatment of municipal wastewater (roughly 85% removal of conventional wastes), or better if needed to meet water quality standards. Both major parts are supported by research activities authorized in the law, plus permit and penalty provisions for enforcement. These programs are administered by the EPA, while state and local governments have the principal day-to-day responsibility for implementing the law. The most recent amendments, enacted in February 1987, are the Water Quality Act of 1987 (P.L. 100-4). These amendments culminated 6 years of congressional efforts to extend and revise the Act and are the most comprehensive amendments to it since 1972. They recognize that, despite much progress to date, significant water quality problems persist. Among its many provisions, the 1987 legislation:</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e established a comprehensive program for controlling toxic pollutant</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discharges, beyond that already provided in the Act, to respond to so-</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called "toxic hot spots;"</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added a program requiring states to develop and implement programs to control nonpoint sources of pollution, or rainfall runoff from farm and urban areas, plus construction, forestry, and mining sites;</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authorized a total of $18 billion in aid for wastewater treatment assistance under a combination of the Act's traditional construction grants program through FY1990 and, as a transition to full state funding responsibility, a new program of grants to capitalize State Revolving Funds, from FY1989- 1994;</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r w:rsidRPr="00B34391">
        <w:rPr>
          <w:rFonts w:ascii="Times New Roman" w:hAnsi="Times New Roman" w:cs="Times New Roman"/>
          <w:sz w:val="28"/>
          <w:szCs w:val="28"/>
        </w:rPr>
        <w:t>authorized or modified a number of programs to address water pollution problems in diverse geographic areas such as coastal estuaries, the Great Lakes, and the Chesapeake Bay; and</w:t>
      </w:r>
    </w:p>
    <w:p w:rsidR="00B34391" w:rsidRPr="00B34391" w:rsidRDefault="00B34391" w:rsidP="003F7F8A">
      <w:pPr>
        <w:numPr>
          <w:ilvl w:val="0"/>
          <w:numId w:val="1"/>
        </w:numPr>
        <w:tabs>
          <w:tab w:val="clear" w:pos="1440"/>
          <w:tab w:val="num" w:pos="0"/>
        </w:tabs>
        <w:ind w:left="360"/>
        <w:jc w:val="both"/>
        <w:rPr>
          <w:rFonts w:ascii="Times New Roman" w:hAnsi="Times New Roman" w:cs="Times New Roman"/>
          <w:sz w:val="28"/>
          <w:szCs w:val="28"/>
        </w:rPr>
      </w:pPr>
      <w:proofErr w:type="gramStart"/>
      <w:r w:rsidRPr="00B34391">
        <w:rPr>
          <w:rFonts w:ascii="Times New Roman" w:hAnsi="Times New Roman" w:cs="Times New Roman"/>
          <w:sz w:val="28"/>
          <w:szCs w:val="28"/>
        </w:rPr>
        <w:t>revised</w:t>
      </w:r>
      <w:proofErr w:type="gramEnd"/>
      <w:r w:rsidRPr="00B34391">
        <w:rPr>
          <w:rFonts w:ascii="Times New Roman" w:hAnsi="Times New Roman" w:cs="Times New Roman"/>
          <w:sz w:val="28"/>
          <w:szCs w:val="28"/>
        </w:rPr>
        <w:t xml:space="preserve"> many of the Act's regulatory, permit, and enforcement programs.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Of the suits tried or settled to date, 19 have resulted in court orders requiring expeditious development of TMDLs. EPA and state officials have been concerned </w:t>
      </w:r>
      <w:r w:rsidRPr="00B34391">
        <w:rPr>
          <w:rFonts w:ascii="Times New Roman" w:hAnsi="Times New Roman" w:cs="Times New Roman"/>
          <w:sz w:val="28"/>
          <w:szCs w:val="28"/>
        </w:rPr>
        <w:lastRenderedPageBreak/>
        <w:t>about diverting resources from other high-priority water quality activities in order to meet the courts' orders. In October 1996, EPA created an advisory committee to solicit advice on the TMDL problem. Recommendations from the advisory committee, received in June 1998, formed the basis of program changes that EPA proposed in August 1999. The 1999 proposal set forth criteria for states, territories, and authorized Indian tribes to identify impaired waters and establish all TMDLs within 15 years. It would require more comprehensive assessments of waterways, detailed cleanup plans, and timetables for implementation.</w:t>
      </w:r>
    </w:p>
    <w:p w:rsidR="0006638E" w:rsidRDefault="0006638E" w:rsidP="0006638E">
      <w:pPr>
        <w:pStyle w:val="af1"/>
        <w:rPr>
          <w:rFonts w:ascii="Times New Roman" w:hAnsi="Times New Roman" w:cs="Times New Roman"/>
        </w:rPr>
      </w:pPr>
    </w:p>
    <w:p w:rsidR="0006638E" w:rsidRDefault="0006638E" w:rsidP="0006638E">
      <w:pPr>
        <w:pStyle w:val="af1"/>
        <w:rPr>
          <w:rFonts w:ascii="Times New Roman" w:hAnsi="Times New Roman" w:cs="Times New Roman"/>
        </w:rPr>
      </w:pPr>
    </w:p>
    <w:p w:rsidR="0006638E" w:rsidRPr="00041C49" w:rsidRDefault="0006638E" w:rsidP="0006638E">
      <w:pPr>
        <w:pStyle w:val="af1"/>
        <w:rPr>
          <w:rFonts w:ascii="Times New Roman" w:hAnsi="Times New Roman" w:cs="Times New Roman"/>
        </w:rPr>
      </w:pPr>
      <w:r w:rsidRPr="00041C49">
        <w:rPr>
          <w:rFonts w:ascii="Times New Roman" w:hAnsi="Times New Roman" w:cs="Times New Roman"/>
        </w:rPr>
        <w:t>QUESTIONS FOR THINKING AND DISCUSSING</w:t>
      </w:r>
    </w:p>
    <w:p w:rsidR="0006638E" w:rsidRPr="00041C49" w:rsidRDefault="0006638E" w:rsidP="009C6833">
      <w:pPr>
        <w:pStyle w:val="af1"/>
        <w:numPr>
          <w:ilvl w:val="0"/>
          <w:numId w:val="5"/>
        </w:numPr>
        <w:rPr>
          <w:rFonts w:ascii="Times New Roman" w:hAnsi="Times New Roman" w:cs="Times New Roman"/>
        </w:rPr>
      </w:pPr>
      <w:r w:rsidRPr="00041C49">
        <w:rPr>
          <w:rFonts w:ascii="Times New Roman" w:hAnsi="Times New Roman" w:cs="Times New Roman"/>
        </w:rPr>
        <w:t>Pick any three chemicals that you are aware are covered by the NPDW Regulations and discuss the potential health effects that could occur from ingesting water contaminated by them.</w:t>
      </w:r>
    </w:p>
    <w:p w:rsidR="0006638E" w:rsidRPr="00041C49" w:rsidRDefault="0006638E" w:rsidP="009C6833">
      <w:pPr>
        <w:pStyle w:val="af1"/>
        <w:numPr>
          <w:ilvl w:val="0"/>
          <w:numId w:val="5"/>
        </w:numPr>
        <w:rPr>
          <w:rFonts w:ascii="Times New Roman" w:hAnsi="Times New Roman" w:cs="Times New Roman"/>
        </w:rPr>
      </w:pPr>
      <w:r w:rsidRPr="00041C49">
        <w:rPr>
          <w:rFonts w:ascii="Times New Roman" w:hAnsi="Times New Roman" w:cs="Times New Roman"/>
        </w:rPr>
        <w:t>What are the two most important provisions of the Clean</w:t>
      </w:r>
      <w:r w:rsidRPr="00041C49">
        <w:rPr>
          <w:rFonts w:ascii="Times New Roman" w:hAnsi="Times New Roman" w:cs="Times New Roman"/>
        </w:rPr>
        <w:tab/>
        <w:t>Water</w:t>
      </w:r>
      <w:r w:rsidRPr="00041C49">
        <w:rPr>
          <w:rFonts w:ascii="Times New Roman" w:hAnsi="Times New Roman" w:cs="Times New Roman"/>
        </w:rPr>
        <w:tab/>
        <w:t>Act?</w:t>
      </w:r>
    </w:p>
    <w:p w:rsidR="00B34391" w:rsidRDefault="0006638E" w:rsidP="009C6833">
      <w:pPr>
        <w:numPr>
          <w:ilvl w:val="0"/>
          <w:numId w:val="5"/>
        </w:numPr>
        <w:jc w:val="both"/>
        <w:rPr>
          <w:rFonts w:ascii="Times New Roman" w:hAnsi="Times New Roman" w:cs="Times New Roman"/>
          <w:sz w:val="28"/>
          <w:szCs w:val="28"/>
          <w:lang w:val="kk-KZ"/>
        </w:rPr>
      </w:pPr>
      <w:r w:rsidRPr="00041C49">
        <w:rPr>
          <w:rFonts w:ascii="Times New Roman" w:hAnsi="Times New Roman" w:cs="Times New Roman"/>
        </w:rPr>
        <w:t>Briefly explain how a sand filter operates</w:t>
      </w:r>
    </w:p>
    <w:p w:rsidR="00726CD3" w:rsidRDefault="00726CD3" w:rsidP="00B34391">
      <w:pPr>
        <w:ind w:firstLine="720"/>
        <w:jc w:val="both"/>
        <w:rPr>
          <w:rFonts w:ascii="Times New Roman" w:hAnsi="Times New Roman" w:cs="Times New Roman"/>
          <w:sz w:val="28"/>
          <w:szCs w:val="28"/>
        </w:rPr>
      </w:pPr>
    </w:p>
    <w:p w:rsidR="00726CD3" w:rsidRDefault="00726CD3" w:rsidP="00B34391">
      <w:pPr>
        <w:ind w:firstLine="720"/>
        <w:jc w:val="both"/>
        <w:rPr>
          <w:rFonts w:ascii="Times New Roman" w:hAnsi="Times New Roman" w:cs="Times New Roman"/>
          <w:sz w:val="28"/>
          <w:szCs w:val="28"/>
        </w:rPr>
      </w:pPr>
    </w:p>
    <w:p w:rsidR="00B34391" w:rsidRDefault="00AC4B13" w:rsidP="00B34391">
      <w:pPr>
        <w:ind w:firstLine="720"/>
        <w:jc w:val="both"/>
        <w:rPr>
          <w:rFonts w:ascii="Times New Roman" w:hAnsi="Times New Roman" w:cs="Times New Roman"/>
          <w:b/>
          <w:bCs/>
          <w:sz w:val="28"/>
          <w:szCs w:val="28"/>
        </w:rPr>
      </w:pPr>
      <w:r w:rsidRPr="00403DFD">
        <w:rPr>
          <w:rFonts w:ascii="Times New Roman" w:hAnsi="Times New Roman" w:cs="Times New Roman"/>
          <w:b/>
          <w:bCs/>
          <w:sz w:val="28"/>
          <w:szCs w:val="28"/>
        </w:rPr>
        <w:t xml:space="preserve"> </w:t>
      </w:r>
      <w:proofErr w:type="gramStart"/>
      <w:r w:rsidRPr="00403DFD">
        <w:rPr>
          <w:rFonts w:ascii="Times New Roman" w:hAnsi="Times New Roman" w:cs="Times New Roman"/>
          <w:b/>
          <w:bCs/>
          <w:sz w:val="28"/>
          <w:szCs w:val="28"/>
        </w:rPr>
        <w:t>BIOCHEMICAL PURIFICATION OF EFFLUENTS.</w:t>
      </w:r>
      <w:proofErr w:type="gramEnd"/>
      <w:r w:rsidRPr="00403DFD">
        <w:rPr>
          <w:rFonts w:ascii="Times New Roman" w:hAnsi="Times New Roman" w:cs="Times New Roman"/>
          <w:b/>
          <w:bCs/>
          <w:sz w:val="28"/>
          <w:szCs w:val="28"/>
        </w:rPr>
        <w:t xml:space="preserve"> </w:t>
      </w:r>
      <w:proofErr w:type="gramStart"/>
      <w:r w:rsidRPr="00403DFD">
        <w:rPr>
          <w:rFonts w:ascii="Times New Roman" w:hAnsi="Times New Roman" w:cs="Times New Roman"/>
          <w:b/>
          <w:bCs/>
          <w:sz w:val="28"/>
          <w:szCs w:val="28"/>
        </w:rPr>
        <w:t>FEATURES OF PROCESS DESIGNS AND INSTALLATIONS BIOKISLIGELEY.</w:t>
      </w:r>
      <w:proofErr w:type="gramEnd"/>
    </w:p>
    <w:p w:rsidR="00B34391" w:rsidRPr="00A1302B" w:rsidRDefault="00D9321F" w:rsidP="009C6833">
      <w:pPr>
        <w:numPr>
          <w:ilvl w:val="0"/>
          <w:numId w:val="22"/>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Water Disinfection One More Time</w:t>
      </w:r>
    </w:p>
    <w:p w:rsidR="006834D3" w:rsidRPr="00A1302B" w:rsidRDefault="006834D3" w:rsidP="009C6833">
      <w:pPr>
        <w:numPr>
          <w:ilvl w:val="0"/>
          <w:numId w:val="22"/>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Use of Chemical Disinfectants</w:t>
      </w:r>
    </w:p>
    <w:p w:rsidR="00A1302B" w:rsidRPr="00A1302B" w:rsidRDefault="00A1302B" w:rsidP="00A1302B">
      <w:pPr>
        <w:jc w:val="both"/>
        <w:rPr>
          <w:rFonts w:ascii="Times New Roman" w:hAnsi="Times New Roman" w:cs="Times New Roman"/>
          <w:i/>
          <w:iCs/>
          <w:sz w:val="28"/>
          <w:szCs w:val="28"/>
          <w:lang w:val="kk-KZ"/>
        </w:rPr>
      </w:pPr>
      <w:r>
        <w:rPr>
          <w:rFonts w:ascii="Times New Roman" w:hAnsi="Times New Roman" w:cs="Times New Roman"/>
          <w:i/>
          <w:iCs/>
          <w:sz w:val="28"/>
          <w:szCs w:val="28"/>
        </w:rPr>
        <w:t xml:space="preserve">           </w:t>
      </w:r>
      <w:r w:rsidRPr="00A1302B">
        <w:rPr>
          <w:rFonts w:ascii="Times New Roman" w:hAnsi="Times New Roman" w:cs="Times New Roman"/>
          <w:i/>
          <w:iCs/>
          <w:sz w:val="28"/>
          <w:szCs w:val="28"/>
        </w:rPr>
        <w:t>Water Disinfection One More Time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Treatment of a water supply is a safety factor, not a corrective measure. There are a number of ways of purifying water. In evaluating the methods of treatment available, the following points regarding water disinfectants should be considered:</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be able to destroy all types of pathogens and in whatever number present in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destroy the pathogens within the time available for disinfection.</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function properly regardless of any fluctuations in the composition or condition of the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not cause the water to become toxic or unpalatable.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function within the temperature range of the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be safe and easy to handle.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be such that it is easy to determine its concentration in the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disinfectant should provide residual protection against recontamination.</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Techniques such as filtration may remove infectious organisms from water. They are, however, no substitute for disinfection. The following are the general methods used for disinfecting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Boiling - This involves bringing the water to its boiling point in a container over heat. The water must be maintained at this temperature 15 to 20 minutes. This will disinfect the water. Boiling water is an effective method of treatment because no important waterborne diseases are caused by heat-resisting organisms.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lastRenderedPageBreak/>
        <w:t>Ultraviolet Light - The use of ultraviolet light is an attempt to imitate nature. As you recall, sunlight destroys some bacteria in the natural purification of water. Exposing water to ultraviolet light destroys pathogens. To assure thorough treatment, the water must be free of turbidity and color. Otherwise, some bacteria will be protected from the germ-killing ultraviolet rays. Since ultraviolet light adds nothing to the water, there is little possibility of its creating taste or odor problems. On the other hand, ultraviolet light treatment has no residual effect. Further, it must be closely checked to assure that sufficient ultraviolet energy is reaching the point of application at all times.</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Use of Chemical Disinfectants</w:t>
      </w:r>
      <w:r w:rsidRPr="00B34391">
        <w:rPr>
          <w:rFonts w:ascii="Times New Roman" w:hAnsi="Times New Roman" w:cs="Times New Roman"/>
          <w:sz w:val="28"/>
          <w:szCs w:val="28"/>
        </w:rPr>
        <w:t xml:space="preserve"> - The most common method of treating water for contamination is to use one of various chemical agents available. Among these are chlorine, bromine, iodine, potassium permanganate, copper and silver ions, alkalis, acids and ozone. Bromine is an oxidizing agent that has been used quite successfully in the disinfecting of swimming pool waters. It is rated as a good germicidal agent. Bromine is easy to feed into water and is not hazardous to store. It apparently does not cause eye irritation among swimmers nor are its odors troublesome.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One of the most widely used disinfecting agents to ensure safe drinking water is chlorine. Chlorine in cylinders is used extensively by municipalities in purification work. However, in this form chlorine gas (Cl2) is far too dangerous for any home purpose. For use in the home, chlorine is readily available as sodium hypochlorite (household bleach) which can be used both for laundering or disinfecting purposes. This product contains a 5.25% solution of sodium hypochlorite which is equivalent to 5% available chlorine. Chlorine is also available as calcium hypochlorite which is sold in the form of dry granules. In this form, it is usually 70% available chlorine. When calcium hypochlorite is used, this chlorinated lime should be mixed thoroughly and allowed to settle, pumping only the clear solution. For a variety of reasons not the least of which is convenience, chlorine in the liquid form (sodium hypochlorite) is more popular for household use. Chlorine is normally fed into water with the aid of a chemical feed pump. The first chlorine fed into the water is likely to be consumed in the oxidation of any iron, manganese or hydrogen sulphide that may be present. Some of the chlorine is also neutralized by organic matter normally present in any supply, including bacteria, if present. When the "chlorine demand" due to these materials has been satisfied, what's left over -the chlorine that has not been consumed - remains as "chlorine residual". The rate of feed is normally adjusted with a chemical feed pump to provide a chlorine residual of 0.5 -1.0 ppm after 20 minutes of contact time. This is enough to kill coliform bacteria but </w:t>
      </w:r>
      <w:proofErr w:type="gramStart"/>
      <w:r w:rsidRPr="00B34391">
        <w:rPr>
          <w:rFonts w:ascii="Times New Roman" w:hAnsi="Times New Roman" w:cs="Times New Roman"/>
          <w:sz w:val="28"/>
          <w:szCs w:val="28"/>
        </w:rPr>
        <w:t>may</w:t>
      </w:r>
      <w:proofErr w:type="gramEnd"/>
      <w:r w:rsidRPr="00B34391">
        <w:rPr>
          <w:rFonts w:ascii="Times New Roman" w:hAnsi="Times New Roman" w:cs="Times New Roman"/>
          <w:sz w:val="28"/>
          <w:szCs w:val="28"/>
        </w:rPr>
        <w:t xml:space="preserve"> or may not kill any viruses or cysts which may be present. Such a chlorine residual not only serves to overcome intermittent trace contamination from coliform bacteria but, also provides for minor variations in the chlorine demand of the water. The pathogens causing such diseases as typhoid fever, cholera and dysentery succumb most easily to chlorine treatment. The cyst-like protozoa causing dysentery are most resistant to chlorine. As yet, little is known about viruses, but some authorities place them at neither extreme in resistance to chlorination.</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lastRenderedPageBreak/>
        <w:t xml:space="preserve">There are three basic terms used in the chlorination process: chlorine demand, chlorine dosage and chlorine residual. Chlorine demand is the amount of chlorine which will </w:t>
      </w:r>
      <w:proofErr w:type="gramStart"/>
      <w:r w:rsidRPr="00B34391">
        <w:rPr>
          <w:rFonts w:ascii="Times New Roman" w:hAnsi="Times New Roman" w:cs="Times New Roman"/>
          <w:sz w:val="28"/>
          <w:szCs w:val="28"/>
        </w:rPr>
        <w:t>reduced</w:t>
      </w:r>
      <w:proofErr w:type="gramEnd"/>
      <w:r w:rsidRPr="00B34391">
        <w:rPr>
          <w:rFonts w:ascii="Times New Roman" w:hAnsi="Times New Roman" w:cs="Times New Roman"/>
          <w:sz w:val="28"/>
          <w:szCs w:val="28"/>
        </w:rPr>
        <w:t xml:space="preserve"> or consumed in the process of oxidizing impurities in the water. Chlorine dosage is the amount of chlorine fed into the water. Chlorine residual is the amount of chlorine still remaining in water after oxidation takes place. For example, if </w:t>
      </w:r>
      <w:proofErr w:type="gramStart"/>
      <w:r w:rsidRPr="00B34391">
        <w:rPr>
          <w:rFonts w:ascii="Times New Roman" w:hAnsi="Times New Roman" w:cs="Times New Roman"/>
          <w:sz w:val="28"/>
          <w:szCs w:val="28"/>
        </w:rPr>
        <w:t>a water</w:t>
      </w:r>
      <w:proofErr w:type="gramEnd"/>
      <w:r w:rsidRPr="00B34391">
        <w:rPr>
          <w:rFonts w:ascii="Times New Roman" w:hAnsi="Times New Roman" w:cs="Times New Roman"/>
          <w:sz w:val="28"/>
          <w:szCs w:val="28"/>
        </w:rPr>
        <w:t xml:space="preserve"> has 2.0 ppm chlorine demand and is fed into the water in a chlorine dosage of 5.0 ppm, the chlorine residual would be 3.0 ppm.</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For emergency purposes, iodine may be used for treatment of drinking water. Much work at present is being done to test the effect of iodine in destroying viruses which are now considered among the pathogens most resistant to treatment. Tests show that 20 minutes exposure to 8.0 ppm of iodine is adequate to render </w:t>
      </w:r>
      <w:proofErr w:type="gramStart"/>
      <w:r w:rsidRPr="00B34391">
        <w:rPr>
          <w:rFonts w:ascii="Times New Roman" w:hAnsi="Times New Roman" w:cs="Times New Roman"/>
          <w:sz w:val="28"/>
          <w:szCs w:val="28"/>
        </w:rPr>
        <w:t>a potable</w:t>
      </w:r>
      <w:proofErr w:type="gramEnd"/>
      <w:r w:rsidRPr="00B34391">
        <w:rPr>
          <w:rFonts w:ascii="Times New Roman" w:hAnsi="Times New Roman" w:cs="Times New Roman"/>
          <w:sz w:val="28"/>
          <w:szCs w:val="28"/>
        </w:rPr>
        <w:t xml:space="preserve"> water. As usual, the residual required varies inversely with contact time. Lower residuals require longer contact time while higher residuals require shorter contact time. While such test results are encouraging, not enough is yet known about the physiological effects of iodine-treated water on the human system. For this reason, its use must be considered only on an emergency basis.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Silver in various forms has been used to destroy pathogens. It can be added to the water as a liquid or through electrolytic decomposition of metallic silver. It has also been fed into water through an absorption process from silver-coated filters. Various household systems have been designed to yield water with a predetermined silver concentration. However, fluctuations in the flow rate often result in wide variations in the amount of silver in the water. In minute concentrations, silver can be highly destructive in wiping out disease-bearing bacteria. While long contact time is essential, silver possesses residual effect that can last for days. Silver does not produce offensive tastes or odors when used in water treatment. Further, organic matter does not interfere with its power to kill bacteria as in the case with free chlorine. Its high cost and the need for long periods of exposure have hindered its widespread acceptance.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Copper ions are used quite frequently to destroy algae in surface waters but these ions are relatively ineffective in killing bacteria.</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Disease-bearing organisms are strongly affected by the pH of </w:t>
      </w:r>
      <w:proofErr w:type="gramStart"/>
      <w:r w:rsidRPr="00B34391">
        <w:rPr>
          <w:rFonts w:ascii="Times New Roman" w:hAnsi="Times New Roman" w:cs="Times New Roman"/>
          <w:sz w:val="28"/>
          <w:szCs w:val="28"/>
        </w:rPr>
        <w:t>a water</w:t>
      </w:r>
      <w:proofErr w:type="gramEnd"/>
      <w:r w:rsidRPr="00B34391">
        <w:rPr>
          <w:rFonts w:ascii="Times New Roman" w:hAnsi="Times New Roman" w:cs="Times New Roman"/>
          <w:sz w:val="28"/>
          <w:szCs w:val="28"/>
        </w:rPr>
        <w:t>. They will not survive when water is either highly acidic or highly alkaline. Thus, treatment which sharply reduces or increases pH in relation to the normal range of 6.5 to 7.5 can be an effective means of destroying organisms.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There are numerous other agents which have proved to be successful in destroying pathogens. Many of these must still be subjected to prolonged testing with regard to their physiological effect on man. Among these are certain surfactants and chlorine dioxide. There are several types of surfactants which aid in destroying pathogens. The cationic detergents readily kill pathogens. Anionic detergents are only weakly effective in destroying pathogens. Surfactants have not been seriously considered for treating drinking water because of their objectionable flavor and possible toxic effects. Chlorine dioxide has unusually good germ killing power. Up to the present time, no valid tests for its use have been developed because of the lack of means for determining low residual concentrations of this agent. It's such a strong oxidizing </w:t>
      </w:r>
      <w:proofErr w:type="gramStart"/>
      <w:r w:rsidRPr="00B34391">
        <w:rPr>
          <w:rFonts w:ascii="Times New Roman" w:hAnsi="Times New Roman" w:cs="Times New Roman"/>
          <w:sz w:val="28"/>
          <w:szCs w:val="28"/>
        </w:rPr>
        <w:t>agent,</w:t>
      </w:r>
      <w:proofErr w:type="gramEnd"/>
      <w:r w:rsidRPr="00B34391">
        <w:rPr>
          <w:rFonts w:ascii="Times New Roman" w:hAnsi="Times New Roman" w:cs="Times New Roman"/>
          <w:sz w:val="28"/>
          <w:szCs w:val="28"/>
        </w:rPr>
        <w:t xml:space="preserve"> a larger residual of chlorine dioxide would </w:t>
      </w:r>
      <w:r w:rsidRPr="00B34391">
        <w:rPr>
          <w:rFonts w:ascii="Times New Roman" w:hAnsi="Times New Roman" w:cs="Times New Roman"/>
          <w:sz w:val="28"/>
          <w:szCs w:val="28"/>
        </w:rPr>
        <w:lastRenderedPageBreak/>
        <w:t>probably be needed than is the case with chlorine. At present, chlorination in one form or another is regarded as the most effective disinfectant available for all general purposes. It has full acceptance of health authorities. Still there are certain factors which affect its ability to disinfect waters. These should always be kept in mind. They are: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"Free" chlorine residuals are more effective than "combined" or "chloramine" residuals. Disinfection regardless of the type of chlorine becomes more effective with increased residuals. Chloramine is the compound formed by feeding both chlorine and ammonia to the water. This treatment has been used for controlling bacteria growth in long pipelines and in other appliances where its slower oxidizing action is of particular benefit.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 pH of 6.0 to 7.0 makes water a far more effective medium for chlorine as a disinfecting agent than do higher pH values of around 9.0 to 10.0.</w:t>
      </w:r>
    </w:p>
    <w:p w:rsidR="00B34391" w:rsidRPr="00B34391" w:rsidRDefault="00B34391" w:rsidP="00B34391">
      <w:pPr>
        <w:ind w:firstLine="720"/>
        <w:jc w:val="both"/>
        <w:rPr>
          <w:rFonts w:ascii="Times New Roman" w:hAnsi="Times New Roman" w:cs="Times New Roman"/>
          <w:sz w:val="28"/>
          <w:szCs w:val="28"/>
        </w:rPr>
      </w:pPr>
      <w:proofErr w:type="gramStart"/>
      <w:r w:rsidRPr="00B34391">
        <w:rPr>
          <w:rFonts w:ascii="Times New Roman" w:hAnsi="Times New Roman" w:cs="Times New Roman"/>
          <w:sz w:val="28"/>
          <w:szCs w:val="28"/>
        </w:rPr>
        <w:t>The effectiveness of chlorine residuals increase with higher temperatures within the normal water temperature range.</w:t>
      </w:r>
      <w:proofErr w:type="gramEnd"/>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 effectiveness of disinfection increases with the amount of contact time available.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All types of organisms do not react in the same way under various conditions to chlorination.</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An increase in the chlorine demand of </w:t>
      </w:r>
      <w:proofErr w:type="gramStart"/>
      <w:r w:rsidRPr="00B34391">
        <w:rPr>
          <w:rFonts w:ascii="Times New Roman" w:hAnsi="Times New Roman" w:cs="Times New Roman"/>
          <w:sz w:val="28"/>
          <w:szCs w:val="28"/>
        </w:rPr>
        <w:t>a water</w:t>
      </w:r>
      <w:proofErr w:type="gramEnd"/>
      <w:r w:rsidRPr="00B34391">
        <w:rPr>
          <w:rFonts w:ascii="Times New Roman" w:hAnsi="Times New Roman" w:cs="Times New Roman"/>
          <w:sz w:val="28"/>
          <w:szCs w:val="28"/>
        </w:rPr>
        <w:t xml:space="preserve"> increases the amount of chlorine necessary to provide a satisfactory chlorine residual.</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In order to ensure the destruction of pathogens, the process of chlorination must achieve certain control of at least one factor and, preferably two, to compensate for fluctuations that occur. For this reason, some authorities on the subject stress the fact that the type and concentration of the chlorine residual must be controlled to ensure adequate disinfection. Only this way, they claim, can chlorination adequately take into account variations in temperature, pH, chlorine demand and types of organisms in the water. While possible to increase minimum contact times, it is difficult to do so. Five to ten minutes is normally all the time available with the type of pressure systems normally used for small water supplies. Many experts feel that satisfactory chlorine residual alone can provide adequate control for disinfection. In their opinion, superchlorination-dechlorination does the best job. Briefly, what is this technique and how does it operate?</w:t>
      </w:r>
    </w:p>
    <w:p w:rsidR="0006638E" w:rsidRDefault="0006638E" w:rsidP="0006638E">
      <w:pPr>
        <w:pStyle w:val="af1"/>
        <w:rPr>
          <w:rFonts w:ascii="Times New Roman" w:hAnsi="Times New Roman" w:cs="Times New Roman"/>
        </w:rPr>
      </w:pPr>
    </w:p>
    <w:p w:rsidR="0006638E" w:rsidRPr="00041C49" w:rsidRDefault="0006638E" w:rsidP="0006638E">
      <w:pPr>
        <w:pStyle w:val="af1"/>
        <w:rPr>
          <w:rFonts w:ascii="Times New Roman" w:hAnsi="Times New Roman" w:cs="Times New Roman"/>
        </w:rPr>
      </w:pPr>
      <w:r w:rsidRPr="00041C49">
        <w:rPr>
          <w:rFonts w:ascii="Times New Roman" w:hAnsi="Times New Roman" w:cs="Times New Roman"/>
        </w:rPr>
        <w:t>QUESTIONS FOR THINKING AND DISCUSSING</w:t>
      </w:r>
    </w:p>
    <w:p w:rsidR="0006638E" w:rsidRPr="00041C49" w:rsidRDefault="0006638E" w:rsidP="009C6833">
      <w:pPr>
        <w:pStyle w:val="af1"/>
        <w:numPr>
          <w:ilvl w:val="0"/>
          <w:numId w:val="6"/>
        </w:numPr>
        <w:rPr>
          <w:rFonts w:ascii="Times New Roman" w:hAnsi="Times New Roman" w:cs="Times New Roman"/>
        </w:rPr>
      </w:pPr>
      <w:r w:rsidRPr="00041C49">
        <w:rPr>
          <w:rFonts w:ascii="Times New Roman" w:hAnsi="Times New Roman" w:cs="Times New Roman"/>
        </w:rPr>
        <w:t>Develop a simplified diagram that explains the various pathways by which water can become contaminated.</w:t>
      </w:r>
    </w:p>
    <w:p w:rsidR="0006638E" w:rsidRPr="00041C49" w:rsidRDefault="0006638E" w:rsidP="009C6833">
      <w:pPr>
        <w:pStyle w:val="af1"/>
        <w:numPr>
          <w:ilvl w:val="0"/>
          <w:numId w:val="6"/>
        </w:numPr>
        <w:rPr>
          <w:rFonts w:ascii="Times New Roman" w:hAnsi="Times New Roman" w:cs="Times New Roman"/>
        </w:rPr>
      </w:pPr>
      <w:r w:rsidRPr="00041C49">
        <w:rPr>
          <w:rFonts w:ascii="Times New Roman" w:hAnsi="Times New Roman" w:cs="Times New Roman"/>
        </w:rPr>
        <w:t>What water quality characteristic would reduce the efficiency of UV in destroying pathogens contained in water?</w:t>
      </w:r>
    </w:p>
    <w:p w:rsidR="0006638E" w:rsidRPr="00041C49" w:rsidRDefault="0006638E" w:rsidP="009C6833">
      <w:pPr>
        <w:pStyle w:val="af1"/>
        <w:numPr>
          <w:ilvl w:val="0"/>
          <w:numId w:val="6"/>
        </w:numPr>
        <w:rPr>
          <w:rFonts w:ascii="Times New Roman" w:hAnsi="Times New Roman" w:cs="Times New Roman"/>
        </w:rPr>
      </w:pPr>
      <w:r w:rsidRPr="00041C49">
        <w:rPr>
          <w:rFonts w:ascii="Times New Roman" w:hAnsi="Times New Roman" w:cs="Times New Roman"/>
        </w:rPr>
        <w:t>List the BATs for treating inorganic matter in water.</w:t>
      </w:r>
    </w:p>
    <w:p w:rsidR="0006638E" w:rsidRDefault="0006638E" w:rsidP="00B34391">
      <w:pPr>
        <w:ind w:firstLine="720"/>
        <w:jc w:val="both"/>
        <w:rPr>
          <w:rFonts w:ascii="Times New Roman" w:hAnsi="Times New Roman" w:cs="Times New Roman"/>
          <w:b/>
          <w:bCs/>
          <w:sz w:val="28"/>
          <w:szCs w:val="28"/>
        </w:rPr>
      </w:pPr>
    </w:p>
    <w:p w:rsidR="00DC55A4" w:rsidRDefault="00DC55A4" w:rsidP="00B34391">
      <w:pPr>
        <w:ind w:firstLine="720"/>
        <w:jc w:val="both"/>
        <w:rPr>
          <w:rFonts w:ascii="Times New Roman" w:hAnsi="Times New Roman" w:cs="Times New Roman"/>
          <w:b/>
          <w:bCs/>
          <w:sz w:val="28"/>
          <w:szCs w:val="28"/>
        </w:rPr>
      </w:pPr>
    </w:p>
    <w:p w:rsidR="00DC55A4" w:rsidRDefault="00DC55A4" w:rsidP="00B34391">
      <w:pPr>
        <w:ind w:firstLine="720"/>
        <w:jc w:val="both"/>
        <w:rPr>
          <w:rFonts w:ascii="Times New Roman" w:hAnsi="Times New Roman" w:cs="Times New Roman"/>
          <w:b/>
          <w:bCs/>
          <w:sz w:val="28"/>
          <w:szCs w:val="28"/>
        </w:rPr>
      </w:pPr>
    </w:p>
    <w:p w:rsidR="00A1302B" w:rsidRDefault="00A1302B" w:rsidP="00B34391">
      <w:pPr>
        <w:ind w:firstLine="720"/>
        <w:jc w:val="both"/>
        <w:rPr>
          <w:rFonts w:ascii="Times New Roman" w:hAnsi="Times New Roman" w:cs="Times New Roman"/>
          <w:b/>
          <w:bCs/>
          <w:sz w:val="28"/>
          <w:szCs w:val="28"/>
        </w:rPr>
      </w:pPr>
    </w:p>
    <w:p w:rsidR="00726CD3" w:rsidRDefault="00726CD3" w:rsidP="00B34391">
      <w:pPr>
        <w:ind w:firstLine="720"/>
        <w:jc w:val="both"/>
        <w:rPr>
          <w:rFonts w:ascii="Times New Roman" w:hAnsi="Times New Roman" w:cs="Times New Roman"/>
          <w:b/>
          <w:bCs/>
          <w:sz w:val="28"/>
          <w:szCs w:val="28"/>
        </w:rPr>
      </w:pPr>
    </w:p>
    <w:p w:rsidR="00726CD3" w:rsidRDefault="00726CD3" w:rsidP="00B34391">
      <w:pPr>
        <w:ind w:firstLine="720"/>
        <w:jc w:val="both"/>
        <w:rPr>
          <w:rFonts w:ascii="Times New Roman" w:hAnsi="Times New Roman" w:cs="Times New Roman"/>
          <w:b/>
          <w:bCs/>
          <w:sz w:val="28"/>
          <w:szCs w:val="28"/>
        </w:rPr>
      </w:pPr>
    </w:p>
    <w:p w:rsidR="00B34391" w:rsidRDefault="00AC4B13" w:rsidP="00B34391">
      <w:pPr>
        <w:ind w:firstLine="720"/>
        <w:jc w:val="both"/>
        <w:rPr>
          <w:rFonts w:ascii="Times New Roman" w:hAnsi="Times New Roman" w:cs="Times New Roman"/>
          <w:b/>
          <w:bCs/>
          <w:sz w:val="28"/>
          <w:szCs w:val="28"/>
        </w:rPr>
      </w:pPr>
      <w:r w:rsidRPr="00403DFD">
        <w:rPr>
          <w:rFonts w:ascii="Times New Roman" w:hAnsi="Times New Roman" w:cs="Times New Roman"/>
          <w:b/>
          <w:bCs/>
          <w:sz w:val="28"/>
          <w:szCs w:val="28"/>
        </w:rPr>
        <w:lastRenderedPageBreak/>
        <w:t xml:space="preserve"> </w:t>
      </w:r>
      <w:proofErr w:type="gramStart"/>
      <w:r w:rsidRPr="00403DFD">
        <w:rPr>
          <w:rFonts w:ascii="Times New Roman" w:hAnsi="Times New Roman" w:cs="Times New Roman"/>
          <w:b/>
          <w:bCs/>
          <w:sz w:val="28"/>
          <w:szCs w:val="28"/>
        </w:rPr>
        <w:t>CHEMICAL CLEANING EFFLUENT.</w:t>
      </w:r>
      <w:proofErr w:type="gramEnd"/>
      <w:r w:rsidRPr="00403DFD">
        <w:rPr>
          <w:rFonts w:ascii="Times New Roman" w:hAnsi="Times New Roman" w:cs="Times New Roman"/>
          <w:b/>
          <w:bCs/>
          <w:sz w:val="28"/>
          <w:szCs w:val="28"/>
        </w:rPr>
        <w:t xml:space="preserve"> </w:t>
      </w:r>
      <w:proofErr w:type="gramStart"/>
      <w:r w:rsidRPr="00403DFD">
        <w:rPr>
          <w:rFonts w:ascii="Times New Roman" w:hAnsi="Times New Roman" w:cs="Times New Roman"/>
          <w:b/>
          <w:bCs/>
          <w:sz w:val="28"/>
          <w:szCs w:val="28"/>
        </w:rPr>
        <w:t>THE MAIN METHODS OF NEUTRALIZATION AND OXIDATION ST.</w:t>
      </w:r>
      <w:proofErr w:type="gramEnd"/>
    </w:p>
    <w:p w:rsidR="00B34391" w:rsidRPr="00A1302B" w:rsidRDefault="00D9321F" w:rsidP="009C6833">
      <w:pPr>
        <w:numPr>
          <w:ilvl w:val="0"/>
          <w:numId w:val="23"/>
        </w:numPr>
        <w:jc w:val="both"/>
        <w:rPr>
          <w:rFonts w:ascii="Times New Roman" w:hAnsi="Times New Roman" w:cs="Times New Roman"/>
          <w:i/>
          <w:iCs/>
          <w:sz w:val="28"/>
          <w:szCs w:val="28"/>
        </w:rPr>
      </w:pPr>
      <w:r w:rsidRPr="00A1302B">
        <w:rPr>
          <w:rFonts w:ascii="Times New Roman" w:hAnsi="Times New Roman" w:cs="Times New Roman"/>
          <w:i/>
          <w:iCs/>
          <w:sz w:val="28"/>
          <w:szCs w:val="28"/>
        </w:rPr>
        <w:t>Introducing chemical treatment</w:t>
      </w:r>
    </w:p>
    <w:p w:rsidR="006834D3" w:rsidRPr="00A1302B" w:rsidRDefault="00D9321F" w:rsidP="009C6833">
      <w:pPr>
        <w:numPr>
          <w:ilvl w:val="0"/>
          <w:numId w:val="23"/>
        </w:numPr>
        <w:jc w:val="both"/>
        <w:rPr>
          <w:rFonts w:ascii="Times New Roman" w:hAnsi="Times New Roman" w:cs="Times New Roman"/>
          <w:i/>
          <w:iCs/>
          <w:sz w:val="28"/>
          <w:szCs w:val="28"/>
        </w:rPr>
      </w:pPr>
      <w:bookmarkStart w:id="10" w:name="bookmark20"/>
      <w:r w:rsidRPr="00A1302B">
        <w:rPr>
          <w:rFonts w:ascii="Times New Roman" w:hAnsi="Times New Roman" w:cs="Times New Roman"/>
          <w:i/>
          <w:iCs/>
          <w:sz w:val="28"/>
          <w:szCs w:val="28"/>
        </w:rPr>
        <w:t>Energy intensive treatment technologies</w:t>
      </w:r>
    </w:p>
    <w:p w:rsidR="00A1302B" w:rsidRPr="00B34391" w:rsidRDefault="00A1302B" w:rsidP="00A1302B">
      <w:pPr>
        <w:jc w:val="both"/>
        <w:rPr>
          <w:rFonts w:ascii="Times New Roman" w:hAnsi="Times New Roman" w:cs="Times New Roman"/>
          <w:sz w:val="28"/>
          <w:szCs w:val="28"/>
        </w:rPr>
      </w:pPr>
      <w:r w:rsidRPr="00A1302B">
        <w:rPr>
          <w:rFonts w:ascii="Times New Roman" w:hAnsi="Times New Roman" w:cs="Times New Roman"/>
          <w:i/>
          <w:iCs/>
          <w:sz w:val="28"/>
          <w:szCs w:val="28"/>
        </w:rPr>
        <w:t xml:space="preserve">           Introducing chemical treatment</w:t>
      </w:r>
    </w:p>
    <w:bookmarkEnd w:id="10"/>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Chlorine is familiar to most people as it is used to treat virtually all municipal water systems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United States</w:t>
          </w:r>
        </w:smartTag>
      </w:smartTag>
      <w:r w:rsidRPr="00B34391">
        <w:rPr>
          <w:rFonts w:ascii="Times New Roman" w:hAnsi="Times New Roman" w:cs="Times New Roman"/>
          <w:sz w:val="28"/>
          <w:szCs w:val="28"/>
        </w:rPr>
        <w:t>. Chlorine has a number of problems when used for field treatment of water. When chlorine reacts with organic material, it attaches itself to nitrogen containing compounds (ammonium ions and amino acids), leaving less free chlorine to continue disinfection. Carcinogenic trihalomethanes are also produced, though this is only a problem with long-term exposure. Trihalomethanes can also be filtered out with a charcoal filter, though it is more efficient to use the same filter to remove organics before the water is chlorinated. Unless free chlorine is measured, disinfection can not be guaranteed with moderate doses of chlorine. One solution is superchlorination, the addition of far more chlorine than is needed. This must again be filtered through activated charcoal to remove the large amounts of chlorine, or hydrogen peroxide can be added to drive the chlorine off. Either way there is no residual chlorine left to prevent recontamination. This isn't a problem, if the water is to be used at once.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Chlorine is sensitive to both the pH and temperature of the treated water. Temperature slows the reaction for any chemical treatment, but chlorine treaunent is particularly susceptible to variations in the pH as at lower </w:t>
      </w:r>
      <w:proofErr w:type="gramStart"/>
      <w:r w:rsidRPr="00B34391">
        <w:rPr>
          <w:rFonts w:ascii="Times New Roman" w:hAnsi="Times New Roman" w:cs="Times New Roman"/>
          <w:sz w:val="28"/>
          <w:szCs w:val="28"/>
        </w:rPr>
        <w:t>pHs</w:t>
      </w:r>
      <w:proofErr w:type="gramEnd"/>
      <w:r w:rsidRPr="00B34391">
        <w:rPr>
          <w:rFonts w:ascii="Times New Roman" w:hAnsi="Times New Roman" w:cs="Times New Roman"/>
          <w:sz w:val="28"/>
          <w:szCs w:val="28"/>
        </w:rPr>
        <w:t xml:space="preserve">, hypochlorous acid is formed, while at higher pHs, it will tend to dissociate into hydrogen and chlorite ions, which are less effective as a disinfectant. As a result, chlorine effectiveness drops off when the pH is greater than 8.Ordinary household bleach (such as Clorox)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contains 5.25 % sodium hypochlorite (NaOCL) and can be used to purify water if it contains no other active ingredients, scents, or colorings. Some small treatment plants in </w:t>
      </w:r>
      <w:smartTag w:uri="urn:schemas-microsoft-com:office:smarttags" w:element="place">
        <w:r w:rsidRPr="00B34391">
          <w:rPr>
            <w:rFonts w:ascii="Times New Roman" w:hAnsi="Times New Roman" w:cs="Times New Roman"/>
            <w:sz w:val="28"/>
            <w:szCs w:val="28"/>
          </w:rPr>
          <w:t>Africa</w:t>
        </w:r>
      </w:smartTag>
      <w:r w:rsidRPr="00B34391">
        <w:rPr>
          <w:rFonts w:ascii="Times New Roman" w:hAnsi="Times New Roman" w:cs="Times New Roman"/>
          <w:sz w:val="28"/>
          <w:szCs w:val="28"/>
        </w:rPr>
        <w:t xml:space="preserve"> produce their own sodium hypochlorite on site from the electrolysis of brine. Power demands range from 1.7 to 4 kWh per lb. of NaOCL. 2 to 3.5 lbs. of salt are needed for each pound of NaOCL. These units are fairly simple and are made in both the </w:t>
      </w:r>
      <w:smartTag w:uri="urn:schemas-microsoft-com:office:smarttags" w:element="country-region">
        <w:r w:rsidRPr="00B34391">
          <w:rPr>
            <w:rFonts w:ascii="Times New Roman" w:hAnsi="Times New Roman" w:cs="Times New Roman"/>
            <w:sz w:val="28"/>
            <w:szCs w:val="28"/>
          </w:rPr>
          <w:t>U.S.</w:t>
        </w:r>
      </w:smartTag>
      <w:r w:rsidRPr="00B34391">
        <w:rPr>
          <w:rFonts w:ascii="Times New Roman" w:hAnsi="Times New Roman" w:cs="Times New Roman"/>
          <w:sz w:val="28"/>
          <w:szCs w:val="28"/>
        </w:rPr>
        <w:t xml:space="preserve"> and the </w:t>
      </w:r>
      <w:smartTag w:uri="urn:schemas-microsoft-com:office:smarttags" w:element="place">
        <w:smartTag w:uri="urn:schemas-microsoft-com:office:smarttags" w:element="country-region">
          <w:r w:rsidRPr="00B34391">
            <w:rPr>
              <w:rFonts w:ascii="Times New Roman" w:hAnsi="Times New Roman" w:cs="Times New Roman"/>
              <w:sz w:val="28"/>
              <w:szCs w:val="28"/>
            </w:rPr>
            <w:t>U.K.</w:t>
          </w:r>
        </w:smartTag>
      </w:smartTag>
      <w:r w:rsidRPr="00B34391">
        <w:rPr>
          <w:rFonts w:ascii="Times New Roman" w:hAnsi="Times New Roman" w:cs="Times New Roman"/>
          <w:sz w:val="28"/>
          <w:szCs w:val="28"/>
        </w:rPr>
        <w:t xml:space="preserve"> Another system, designed for </w:t>
      </w:r>
      <w:smartTag w:uri="urn:schemas-microsoft-com:office:smarttags" w:element="place">
        <w:smartTag w:uri="urn:schemas-microsoft-com:office:smarttags" w:element="country-region">
          <w:r w:rsidRPr="00B34391">
            <w:rPr>
              <w:rFonts w:ascii="Times New Roman" w:hAnsi="Times New Roman" w:cs="Times New Roman"/>
              <w:sz w:val="28"/>
              <w:szCs w:val="28"/>
            </w:rPr>
            <w:t>China</w:t>
          </w:r>
        </w:smartTag>
      </w:smartTag>
      <w:r w:rsidRPr="00B34391">
        <w:rPr>
          <w:rFonts w:ascii="Times New Roman" w:hAnsi="Times New Roman" w:cs="Times New Roman"/>
          <w:sz w:val="28"/>
          <w:szCs w:val="28"/>
        </w:rPr>
        <w:t>, where the suitable raw materials were mined or manufactured locally, used a reaction between salt, manganese dioxide, and sulfuric acid to produce chlorine gas. The gas was then allowed to react with slaked lime to produce a bleaching powder that could then be used to treat water. A heat source is required to speed the reaction up. Bleaching Powder (or Chlorinated Lime) is sometimes used at the industrial scale. Bleaching powder is 33-37% chlorine when produced, but losses its chlorine rapidly, particularly when exposed to air, light or moisture.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Calcium Hypochlorite, also known as High Test Hypochlorite (HTH) is supplied in crystal form; it is nearly 70% available chlorine. One product, the Sanitizer (formally the Sierra Water Purifier) uses these crystals to superchlorinate the water to insure pathogens were killed off, then hydrogen peroxide is added to drive off the residual chlorine. This is the most effective method of field chlorine treatment.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military and most aid agencies also use HTH to treat their </w:t>
      </w:r>
      <w:r w:rsidRPr="00B34391">
        <w:rPr>
          <w:rFonts w:ascii="Times New Roman" w:hAnsi="Times New Roman" w:cs="Times New Roman"/>
          <w:sz w:val="28"/>
          <w:szCs w:val="28"/>
        </w:rPr>
        <w:lastRenderedPageBreak/>
        <w:t>water, though a test kit, rather than superchlorination, is used to insure enough chlorine is added. This is preferable for large-scale systems, as the residual chlorine will prevent recontamination. Usually bulk water treatment plants first dilute to HTH to make a 1 % working solution at the rate of 14g HTH per liter of water. While testing to determine exact chlorine needs are preferable, the solution can be used at the dose rate of 8 drops/gallon, or for larger quantities, 1 part of 1% solution to 10,000 parts clear water. Either of these doses will result in 1 PPM chlorine and may need to be increased, if the water wasn't already filtered by other means.</w:t>
      </w:r>
    </w:p>
    <w:p w:rsidR="00B34391" w:rsidRPr="00B34391" w:rsidRDefault="00B34391" w:rsidP="00B34391">
      <w:pPr>
        <w:ind w:firstLine="720"/>
        <w:jc w:val="both"/>
        <w:rPr>
          <w:rFonts w:ascii="Times New Roman" w:hAnsi="Times New Roman" w:cs="Times New Roman"/>
          <w:sz w:val="28"/>
          <w:szCs w:val="28"/>
        </w:rPr>
      </w:pPr>
      <w:bookmarkStart w:id="11" w:name="bookmark21"/>
      <w:r w:rsidRPr="00B34391">
        <w:rPr>
          <w:rFonts w:ascii="Times New Roman" w:hAnsi="Times New Roman" w:cs="Times New Roman"/>
          <w:sz w:val="28"/>
          <w:szCs w:val="28"/>
        </w:rPr>
        <w:t>IODINE</w:t>
      </w:r>
      <w:bookmarkEnd w:id="11"/>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Iodine’s use as a water purification method emerged after World War 2, when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military was looking for a replacement for Halazone tablets. Iodine was found to be in many ways superior to chlorine for use in treating small batches of water. Iodine is less sensitive to the pH and organic content of water, and is effective in lower doses. Some individuals are allergic to iodine, and there is some question about long term use of iodine. The safety of long-term exposure to low levels of iodine was proven when inmates of three </w:t>
      </w:r>
      <w:smartTag w:uri="urn:schemas-microsoft-com:office:smarttags" w:element="place">
        <w:smartTag w:uri="urn:schemas-microsoft-com:office:smarttags" w:element="State">
          <w:r w:rsidRPr="00B34391">
            <w:rPr>
              <w:rFonts w:ascii="Times New Roman" w:hAnsi="Times New Roman" w:cs="Times New Roman"/>
              <w:sz w:val="28"/>
              <w:szCs w:val="28"/>
            </w:rPr>
            <w:t>Florida</w:t>
          </w:r>
        </w:smartTag>
      </w:smartTag>
      <w:r w:rsidRPr="00B34391">
        <w:rPr>
          <w:rFonts w:ascii="Times New Roman" w:hAnsi="Times New Roman" w:cs="Times New Roman"/>
          <w:sz w:val="28"/>
          <w:szCs w:val="28"/>
        </w:rPr>
        <w:t xml:space="preserve"> prisons were given water disinfected with 0.5 to 1.0 ppm iodine for 15 years. No </w:t>
      </w:r>
      <w:proofErr w:type="gramStart"/>
      <w:r w:rsidRPr="00B34391">
        <w:rPr>
          <w:rFonts w:ascii="Times New Roman" w:hAnsi="Times New Roman" w:cs="Times New Roman"/>
          <w:sz w:val="28"/>
          <w:szCs w:val="28"/>
        </w:rPr>
        <w:t>effects on the health or thyroid function of previously healthy inmates was</w:t>
      </w:r>
      <w:proofErr w:type="gramEnd"/>
      <w:r w:rsidRPr="00B34391">
        <w:rPr>
          <w:rFonts w:ascii="Times New Roman" w:hAnsi="Times New Roman" w:cs="Times New Roman"/>
          <w:sz w:val="28"/>
          <w:szCs w:val="28"/>
        </w:rPr>
        <w:t xml:space="preserve"> observed. Of 101 infants born to prisoners drinking the water for 122- 270 days, none showed detectable thyroid enlargement. However, 4 individuals with preexisting cases of hyperthyroidism became more symptomatic, while consuming the water. Nevertheless, experts are reluctant to recommend iodine for long term use. Average American iodine intake is estimated at 0.24 to 0.74 mg/day, higher than the RDA of 0.4 mg/day. Due to a recent National Academy of Science recommendation that iodine consumption be reduced to the RDA, the EPA discourages the use of iodized salt in areas where iodine is used to treat drinking water. Iodine is normally used in doses of 8 PPM to treat clear water for a 10 minute contact time. The effectiveness of this dose has been shown in numerous studies. Cloudy water needs </w:t>
      </w:r>
      <w:proofErr w:type="gramStart"/>
      <w:r w:rsidRPr="00B34391">
        <w:rPr>
          <w:rFonts w:ascii="Times New Roman" w:hAnsi="Times New Roman" w:cs="Times New Roman"/>
          <w:sz w:val="28"/>
          <w:szCs w:val="28"/>
        </w:rPr>
        <w:t>twice as much iodine</w:t>
      </w:r>
      <w:proofErr w:type="gramEnd"/>
      <w:r w:rsidRPr="00B34391">
        <w:rPr>
          <w:rFonts w:ascii="Times New Roman" w:hAnsi="Times New Roman" w:cs="Times New Roman"/>
          <w:sz w:val="28"/>
          <w:szCs w:val="28"/>
        </w:rPr>
        <w:t xml:space="preserve"> or twice as much contact time. In cold water (Below 41° F or 5° C) the dose or time must also be doubled. In any case doubling the treatment time will allow the use of half as much iodine. These doses are calculated to remove all pathogens (other than cryptosporida) from the water. Of these, giardia cysts are the hardest to kill, and are what requires the high level of iodine. If the cysts are filtered out with a microfilter (any model will do since the cysts are 6 pm), only 0.5 ppm is needed to treat the resulting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Water treated with iodine can have any objectionable taste removed by treating the water with vitamin С (ascorbic acid), but it must be added after the water has stood for the correct treatment time. </w:t>
      </w:r>
      <w:proofErr w:type="gramStart"/>
      <w:r w:rsidRPr="00B34391">
        <w:rPr>
          <w:rFonts w:ascii="Times New Roman" w:hAnsi="Times New Roman" w:cs="Times New Roman"/>
          <w:sz w:val="28"/>
          <w:szCs w:val="28"/>
        </w:rPr>
        <w:t>Flavored beverages containing vitamin С willaccomplish the same thing.</w:t>
      </w:r>
      <w:proofErr w:type="gramEnd"/>
      <w:r w:rsidRPr="00B34391">
        <w:rPr>
          <w:rFonts w:ascii="Times New Roman" w:hAnsi="Times New Roman" w:cs="Times New Roman"/>
          <w:sz w:val="28"/>
          <w:szCs w:val="28"/>
        </w:rPr>
        <w:t xml:space="preserve"> Sodium thiosulfate can also be used to combine with free iodine, and either of these chemicals will also help remove the taste of chlorine as well. Usually elemental iodine can't be tasted below 1 ppm, and below 2 ppm the taste isn’t objectionable. Iodine ions have an even higher taste threshold of 5 ppm. Note that removing the iodine taste does not reduce the dose of iodine ingested by the body.</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lastRenderedPageBreak/>
        <w:t>SILVER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Silver has been suggested by some for water treatment and may still be available outside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Its use is currently out of favor due to the EPA's establishment of a 50 ppb MCL (Maximum Contaminate Level) limit on silver in drinking water. This limit is set to avoid argyrosis, a cosmetic blue/gray staining of the skin, eyes, and mucous membranes. As the disease requires a net accumulation of 1 g of silver in the body, one expert calculated that you could drink water treated at 50 ppb for 27 years before accumulating 1 g. Silver has only be proven to be effective against bacteria and protozoan cysts, though it is quite likely also effective against viruses. Silver can be used in the form of a silver salt, commonly silver nitrate, a colloidal suspension, or a bed of metallic silver. Electrolysis can also be used to add metallic silver to a solution. Some evidence has suggested that silver deposited on carbon block filters can kill pathogens without add</w:t>
      </w:r>
      <w:r w:rsidRPr="00B34391">
        <w:rPr>
          <w:rFonts w:ascii="Times New Roman" w:hAnsi="Times New Roman" w:cs="Times New Roman"/>
          <w:sz w:val="28"/>
          <w:szCs w:val="28"/>
        </w:rPr>
        <w:softHyphen/>
        <w:t>ing as much silver to the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POTASSIUM</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PERMANGANATE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Potassium permanganate is no longer commonly used in the developed world to kill pathogens.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It is much weaker than the other alternatives cited, more expensive, and leaves </w:t>
      </w:r>
      <w:proofErr w:type="gramStart"/>
      <w:r w:rsidRPr="00B34391">
        <w:rPr>
          <w:rFonts w:ascii="Times New Roman" w:hAnsi="Times New Roman" w:cs="Times New Roman"/>
          <w:sz w:val="28"/>
          <w:szCs w:val="28"/>
        </w:rPr>
        <w:t>a</w:t>
      </w:r>
      <w:proofErr w:type="gramEnd"/>
      <w:r w:rsidRPr="00B34391">
        <w:rPr>
          <w:rFonts w:ascii="Times New Roman" w:hAnsi="Times New Roman" w:cs="Times New Roman"/>
          <w:sz w:val="28"/>
          <w:szCs w:val="28"/>
        </w:rPr>
        <w:t xml:space="preserve"> objectionable pink or brown color. Still, some underdeveloped countries rely on it, especially in home-use applications. If it must be used, 1 gram per liter would probably be sufficient against bacteria and viruses (no data is available on it effectiveness against protozoan cysts). Hydrogen Peroxide can be used to purify water if nothing else is available. Studies have shown of 99 percent inactivation of poliovirus in 6 hr with 0.3 percent hydrogen peroxide and a 99% in-activation of rhinovirus with a 1.5% solution in 24 minutes. Hydrogen Peroxide is more effective against bacteria, though Fe+2 or Cu+2 needs to be present as a catalyst to get a reasonable concentration-time product.</w:t>
      </w:r>
    </w:p>
    <w:p w:rsidR="00B34391" w:rsidRPr="00A1302B" w:rsidRDefault="00B34391" w:rsidP="00B34391">
      <w:pPr>
        <w:ind w:firstLine="720"/>
        <w:jc w:val="both"/>
        <w:rPr>
          <w:rFonts w:ascii="Times New Roman" w:hAnsi="Times New Roman" w:cs="Times New Roman"/>
          <w:i/>
          <w:iCs/>
          <w:sz w:val="28"/>
          <w:szCs w:val="28"/>
        </w:rPr>
      </w:pPr>
      <w:bookmarkStart w:id="12" w:name="bookmark23"/>
      <w:r w:rsidRPr="00A1302B">
        <w:rPr>
          <w:rFonts w:ascii="Times New Roman" w:hAnsi="Times New Roman" w:cs="Times New Roman"/>
          <w:i/>
          <w:iCs/>
          <w:sz w:val="28"/>
          <w:szCs w:val="28"/>
        </w:rPr>
        <w:t>ENERGY INTENSIVE TREATMENT TECHNOLOGIES</w:t>
      </w:r>
      <w:bookmarkEnd w:id="12"/>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OZONE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Ozone is used extensively in </w:t>
      </w:r>
      <w:smartTag w:uri="urn:schemas-microsoft-com:office:smarttags" w:element="place">
        <w:r w:rsidRPr="00B34391">
          <w:rPr>
            <w:rFonts w:ascii="Times New Roman" w:hAnsi="Times New Roman" w:cs="Times New Roman"/>
            <w:sz w:val="28"/>
            <w:szCs w:val="28"/>
          </w:rPr>
          <w:t>Europe</w:t>
        </w:r>
      </w:smartTag>
      <w:r w:rsidRPr="00B34391">
        <w:rPr>
          <w:rFonts w:ascii="Times New Roman" w:hAnsi="Times New Roman" w:cs="Times New Roman"/>
          <w:sz w:val="28"/>
          <w:szCs w:val="28"/>
        </w:rPr>
        <w:t xml:space="preserve"> to purify water. Ozone, a molecule composed of 3 atoms of oxygen rather than two, is formed by exposing air or oxygen to a high voltage electric arc. Ozone is much more effective as a disinfectant than chlorine, but no residual levels of disinfectant exist after ozone turns back into 02. (One source quotes a half life of only 120 minutes in distilled water at 20 °C). Ozone is expected to see increased use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as a way to avoid the production and formation of trihalomethanes, and while ozone does break down organic molecules, sometimes this can be a disadvantage as ozone treatment can produce higher levels of smaller molecules that provide an energy source for microorganisms. If no residual disinfectant is present (as would happen if ozone were used as the only treatment method), these microorganisms will cause the water quality to deteriorate in storage. Ozone also changes the surface charges of dissolved organics and colloidially suspended particles. This causes microflocculation of the dissolved organics and coagulation of the colloidal particles.</w:t>
      </w:r>
    </w:p>
    <w:p w:rsidR="00B34391" w:rsidRPr="00B34391" w:rsidRDefault="00B34391" w:rsidP="00B34391">
      <w:pPr>
        <w:ind w:firstLine="720"/>
        <w:jc w:val="both"/>
        <w:rPr>
          <w:rFonts w:ascii="Times New Roman" w:hAnsi="Times New Roman" w:cs="Times New Roman"/>
          <w:sz w:val="28"/>
          <w:szCs w:val="28"/>
        </w:rPr>
      </w:pPr>
      <w:bookmarkStart w:id="13" w:name="bookmark24"/>
      <w:r w:rsidRPr="00B34391">
        <w:rPr>
          <w:rFonts w:ascii="Times New Roman" w:hAnsi="Times New Roman" w:cs="Times New Roman"/>
          <w:sz w:val="28"/>
          <w:szCs w:val="28"/>
        </w:rPr>
        <w:lastRenderedPageBreak/>
        <w:t>UV LIGHT</w:t>
      </w:r>
      <w:bookmarkEnd w:id="13"/>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Ultraviolet light has been known to kill pathogens for a long time. A low pressure mercury bulb emits between 30 to 90 % of its energy at a wave length of 253.7 nm, right in the middle of the UV band. </w:t>
      </w:r>
      <w:proofErr w:type="gramStart"/>
      <w:r w:rsidRPr="00B34391">
        <w:rPr>
          <w:rFonts w:ascii="Times New Roman" w:hAnsi="Times New Roman" w:cs="Times New Roman"/>
          <w:sz w:val="28"/>
          <w:szCs w:val="28"/>
        </w:rPr>
        <w:t>If water is exposed to enough light, pathogens will be killed.</w:t>
      </w:r>
      <w:proofErr w:type="gramEnd"/>
      <w:r w:rsidRPr="00B34391">
        <w:rPr>
          <w:rFonts w:ascii="Times New Roman" w:hAnsi="Times New Roman" w:cs="Times New Roman"/>
          <w:sz w:val="28"/>
          <w:szCs w:val="28"/>
        </w:rPr>
        <w:t xml:space="preserve"> The problem is that some pathogens are hundreds of times less sensitive to UV light than others. The least sensitive pathogens to UV are protozoan cysts. Several studies show that Giardia will not be destroyed by many commercial UV treatment units. Fortunately, these are the easiest pathogens to filter out with a mechanical filter. The efficiency of UV treatment is very dependent on the turbidity of the water. </w:t>
      </w:r>
      <w:proofErr w:type="gramStart"/>
      <w:r w:rsidRPr="00B34391">
        <w:rPr>
          <w:rFonts w:ascii="Times New Roman" w:hAnsi="Times New Roman" w:cs="Times New Roman"/>
          <w:sz w:val="28"/>
          <w:szCs w:val="28"/>
        </w:rPr>
        <w:t>The more opaque the water is, the less light that will be transmitted through it.</w:t>
      </w:r>
      <w:proofErr w:type="gramEnd"/>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 treatment units must be run at the designed flow rate to insure sufficient exposure, as well as insure turbulent flow rather than plug flow. Another problem with UV treatment is that the damage done to the pathogens with UV light can be reversed if the water is exposed to visible light (specifically 330-500 nm) through a process known as photoreactivation. UV treatment, like ozone or mechanical filtering, leaves no residual component in the water to insure its continued disinfection. Any purchased UV filter should be checked to insure it at least complies with the 1966 HEW standard of 16 mW-s/cm2 with a maximum water depth of 7.5 cm. ANSI/NSF require 38 mW-s/cm2 for primary water treatment systems. This level was chosen to give better than 3 log (99.9%) inactivation of Bacillus subtillis. This level is of little use against Giardia, and of no use against Crypto.</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 US EPA explored UV light for small scale water treatment plants and found it compared unfavorably with chlorine due to 1) higher costs, 2) lower reliability, and 3) lack of a residual disinfectant.</w:t>
      </w:r>
    </w:p>
    <w:p w:rsidR="00B34391" w:rsidRPr="00B34391" w:rsidRDefault="00B34391" w:rsidP="00B34391">
      <w:pPr>
        <w:ind w:firstLine="720"/>
        <w:jc w:val="both"/>
        <w:rPr>
          <w:rFonts w:ascii="Times New Roman" w:hAnsi="Times New Roman" w:cs="Times New Roman"/>
          <w:sz w:val="28"/>
          <w:szCs w:val="28"/>
        </w:rPr>
      </w:pPr>
      <w:bookmarkStart w:id="14" w:name="bookmark25"/>
      <w:r w:rsidRPr="00B34391">
        <w:rPr>
          <w:rFonts w:ascii="Times New Roman" w:hAnsi="Times New Roman" w:cs="Times New Roman"/>
          <w:sz w:val="28"/>
          <w:szCs w:val="28"/>
        </w:rPr>
        <w:t>WATER TREATMENT IN GENERAL</w:t>
      </w:r>
      <w:bookmarkEnd w:id="14"/>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Water must have eye appeal and taste appeal before we will drink it with much relish. Instinctively we draw back from the idea of drinking dirty, smelly water. Actually far more important to our well-being is whether or not </w:t>
      </w:r>
      <w:proofErr w:type="gramStart"/>
      <w:r w:rsidRPr="00B34391">
        <w:rPr>
          <w:rFonts w:ascii="Times New Roman" w:hAnsi="Times New Roman" w:cs="Times New Roman"/>
          <w:sz w:val="28"/>
          <w:szCs w:val="28"/>
        </w:rPr>
        <w:t>a water</w:t>
      </w:r>
      <w:proofErr w:type="gramEnd"/>
      <w:r w:rsidRPr="00B34391">
        <w:rPr>
          <w:rFonts w:ascii="Times New Roman" w:hAnsi="Times New Roman" w:cs="Times New Roman"/>
          <w:sz w:val="28"/>
          <w:szCs w:val="28"/>
        </w:rPr>
        <w:t xml:space="preserve"> is safe to drink. If it holds disease bacteria, regardless of its clarity and sparkle, we should avoid it. Let's consider these two highly important aspects of water: potability and palatability.</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Regardless of any other factors, water piped into the home must be potable. To be potable, it should be completely free of disease organisms. Water is the breeding ground for an almost unbelievably large variety of organisms. Water does not produce these organisms. It merely is an ideal medium in which they can grow. These organisms gain entry into water through a variety of sources. They enter from natural causes, surface drainage and sewage. Many of the organisms in water are harmless. In fact, they are extremely beneficial to man. Others have a wide nuisance value and still others are the source of disease. In general, we are primarily concerned here with organisms which are potential disease-producers. These are of five types: bacteria, protozoa, worms, viruses, fungi. The presence of certain organisms of these various types can lead to such infectious diseases as typhoid fever, dysentery, cholera, jaundice, hepatitis, undulant fever and </w:t>
      </w:r>
      <w:r w:rsidRPr="00B34391">
        <w:rPr>
          <w:rFonts w:ascii="Times New Roman" w:hAnsi="Times New Roman" w:cs="Times New Roman"/>
          <w:sz w:val="28"/>
          <w:szCs w:val="28"/>
        </w:rPr>
        <w:lastRenderedPageBreak/>
        <w:t>tularaemia.</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There are other diseases as well, which spread through drinking unsafe water. Tremendous strides have been made in the control of these diseases within recent years. Much of the credit must go to sanitary engineers for their careful, consistent control of public water supplies. Biologically, there are two major classifications for our purposes. We can classify water organisms either as members of the plant or animal kingdoms.The following ways are the natural ways, in which water is purified: Bacteria and algae consume organic waste; Micro-organisms devour bacteria and algae; Oxidation renders organic matter harmless; Ultra-violet rays of sun have germicidal effects.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Under the broad heading of plant forms, we can classify the following:</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Algae - These organisms are found throughout the world. They constitute the chief group of aquatic plants both in sea and fresh water. Algae range in size from microscopic organisms to giant seaweeds several hundred feet in length. They contain chlorophyll and other pigments which give them a variety of colors. They manufacture their food by photosynthesis. Algae thrive well in stagnant surface waters especially during the warm weather. </w:t>
      </w:r>
      <w:proofErr w:type="gramStart"/>
      <w:r w:rsidRPr="00B34391">
        <w:rPr>
          <w:rFonts w:ascii="Times New Roman" w:hAnsi="Times New Roman" w:cs="Times New Roman"/>
          <w:sz w:val="28"/>
          <w:szCs w:val="28"/>
        </w:rPr>
        <w:t>Algae gives</w:t>
      </w:r>
      <w:proofErr w:type="gramEnd"/>
      <w:r w:rsidRPr="00B34391">
        <w:rPr>
          <w:rFonts w:ascii="Times New Roman" w:hAnsi="Times New Roman" w:cs="Times New Roman"/>
          <w:sz w:val="28"/>
          <w:szCs w:val="28"/>
        </w:rPr>
        <w:t xml:space="preserve"> water fishy, grassy and other even more objectionable odors. While algae-laden waters are repulsive to man, animals will drink them and the presence of blue-green algae has been known to cause the death of cattle drinking this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Diatoms - Diatoms belong to the algae family. Some exist as single cells; others are found as groups or colonies. More than 15,000 forms of diatoms are known to exist. Diatoms have silica-impregnated cell walls. At time they release essential oils which give water a fishy taste.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Fungi - Fungi are another large group of plant forms. Like the algae, fungi have many varieties included among these are molds and bacteria. Fungi are not able to manufacture their own food. They exist by feeding on living things or on dead organic matter. Depending on their individual characteristics, they are usually colorless but may vary in this respect.</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Molds - One important category of fungi is molds. This group of fungi feeds entirely on organic matter. They decompose carbohydrates such as sugars, starches and fats as well as proteins and other substances. They thrive ideally in water that has a temperature range of approximately 80 degrees to 100 °F. The presence of molds is generally a strong indicator of heavy pollution of water.</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Bacteria - Bacteria are another important class of fungi. Again numerous smaller groupings are possible. Among the higher organisms in this group are the iron, manganese and sulphur bacteria. These higher bacteria gain their energy from the oxidation of simple organic substances. Lower forms of bacteria can be grouped as those that are helpful and those that are harmful to man. Those harmful to man are mainly the disease-producing organisms. Helpful organisms hasten the process of decomposing organic matter and by feeding on waste material; they aid in the purifying of water. All bacteria are sensitive to the temperature and pH of water. Some bacteria can tolerate acid water. But for the most part, they thrive best in waters that have a pH between 6.5 to </w:t>
      </w:r>
      <w:proofErr w:type="gramStart"/>
      <w:r w:rsidRPr="00B34391">
        <w:rPr>
          <w:rFonts w:ascii="Times New Roman" w:hAnsi="Times New Roman" w:cs="Times New Roman"/>
          <w:sz w:val="28"/>
          <w:szCs w:val="28"/>
        </w:rPr>
        <w:t>7.5, that</w:t>
      </w:r>
      <w:proofErr w:type="gramEnd"/>
      <w:r w:rsidRPr="00B34391">
        <w:rPr>
          <w:rFonts w:ascii="Times New Roman" w:hAnsi="Times New Roman" w:cs="Times New Roman"/>
          <w:sz w:val="28"/>
          <w:szCs w:val="28"/>
        </w:rPr>
        <w:t xml:space="preserve"> is essentially neutral waters. As to temperature, most pathogenic or disease bacteria thrive best in water of body </w:t>
      </w:r>
      <w:r w:rsidRPr="00B34391">
        <w:rPr>
          <w:rFonts w:ascii="Times New Roman" w:hAnsi="Times New Roman" w:cs="Times New Roman"/>
          <w:sz w:val="28"/>
          <w:szCs w:val="28"/>
        </w:rPr>
        <w:lastRenderedPageBreak/>
        <w:t>temperature. Beyond this no hard and fast statements can be made. Some bacteria are more resistant to heat than are others. Some are more sensitive to cold. At low temperatures, for example, some bacteria may become dormant for long periods of time but will still continue to exist. Interestingly enough, the waste products of their own growth can hamper bacteria and may even prove toxic to them.</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Animal forms like plant life thrive in water providing conditions are right. Among the higher forms of animal life found in water are fish, amphibians (turtles and frogs), mollusks (snails and shellfish) and anthropoids (lobsters, crabs, water insects, water mites and others). Concern here is with those lower forms of animal life in water. Again, some are helpful to man as scavengers; others are injurious as possible sources of infection. Principal ones of concern are as follows:</w:t>
      </w:r>
    </w:p>
    <w:p w:rsidR="00B34391" w:rsidRPr="00B34391" w:rsidRDefault="00B34391" w:rsidP="00B34391">
      <w:pPr>
        <w:ind w:firstLine="720"/>
        <w:jc w:val="both"/>
        <w:rPr>
          <w:rFonts w:ascii="Times New Roman" w:hAnsi="Times New Roman" w:cs="Times New Roman"/>
          <w:sz w:val="28"/>
          <w:szCs w:val="28"/>
        </w:rPr>
      </w:pPr>
      <w:smartTag w:uri="urn:schemas-microsoft-com:office:smarttags" w:element="place">
        <w:smartTag w:uri="urn:schemas-microsoft-com:office:smarttags" w:element="City">
          <w:r w:rsidRPr="00B34391">
            <w:rPr>
              <w:rFonts w:ascii="Times New Roman" w:hAnsi="Times New Roman" w:cs="Times New Roman"/>
              <w:sz w:val="28"/>
              <w:szCs w:val="28"/>
            </w:rPr>
            <w:t>Worms</w:t>
          </w:r>
        </w:smartTag>
      </w:smartTag>
      <w:r w:rsidRPr="00B34391">
        <w:rPr>
          <w:rFonts w:ascii="Times New Roman" w:hAnsi="Times New Roman" w:cs="Times New Roman"/>
          <w:sz w:val="28"/>
          <w:szCs w:val="28"/>
        </w:rPr>
        <w:t xml:space="preserve"> - There are three types of worms found in water. For the most part, they dwell in the bed of the material at the bottom of lakes and streams. There they do important work as scavengers. The rotifiers are the only organisms in this category at or near the surface. They live primarily in stagnant fresh water. The eggs and larvae of various intestinal worms found in man and warm-blooded animals pollute the water at times. They do not generally cause widespread infection for several reasons. They are relatively few in number and are so large they can be filtered out of water with comparative ease.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Protozoa - Another basic classification in the animal kingdom is that group of microscopic animals known as protozoa. These one-celled organisms live mainly in water either at or near the surface or at great depths in the oceans. Many live as parasites in the bodies of man and animals. Sometimes, drinking water becomes infested with certain protozoa which are not disease-producing. When present, they give the water a fishy taste and odor. Some protozoa are aerobic, that is, they exist only where free oxygen is available. Some exist where no free oxygen is available.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Nematodes - Nematodes belong to the worm family. They have long, cylindrical bodies which have no internal segments. Interestingly enough, those nematodes which are found in the bodies of men and warm-blooded animals are large enough to be visible to the naked eye; those living in fresh water or the soil are microscopic. Nematodes can be a problem in drinking water because they impart objectionable tastes and odors to water. They are also under suspicion of being carriers of the type of disease-bearing bacteria found in the intestines of warm</w:t>
      </w:r>
      <w:r w:rsidRPr="00B34391">
        <w:rPr>
          <w:rFonts w:ascii="Times New Roman" w:hAnsi="Times New Roman" w:cs="Times New Roman"/>
          <w:sz w:val="28"/>
          <w:szCs w:val="28"/>
        </w:rPr>
        <w:softHyphen/>
        <w:t>blooded animals though studies show that possibility is somewhat remote. Nematodes are apt to be found in municipal waters derived from surface supplies. Viruses - As yet not too well understood is that group of parasitic forms known as viruses. Too small to be seen under a microscope, viruses are capable of causing disease in both plants and animals. Viruses can pass through porcelain filters that are capable of screening out bacteria. At least one virus that produces infectious hepatitis is water bom. Drinking water contaminated with this virus is hazardous.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As the reader can see from even this brief summary, there is a tremendous variety of living organisms in water. To understand and classify the countless varieties requires an immense amount of knowledge and time. These organisms, whether plant or animal forms, are pathogenic or disease-producing; they make </w:t>
      </w:r>
      <w:r w:rsidRPr="00B34391">
        <w:rPr>
          <w:rFonts w:ascii="Times New Roman" w:hAnsi="Times New Roman" w:cs="Times New Roman"/>
          <w:sz w:val="28"/>
          <w:szCs w:val="28"/>
        </w:rPr>
        <w:lastRenderedPageBreak/>
        <w:t>water unsafe to drink. For obvious reasons, even where there is just a possibility that water contains pathogenic organisms, it must be considered contaminated.</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While there </w:t>
      </w:r>
      <w:proofErr w:type="gramStart"/>
      <w:r w:rsidRPr="00B34391">
        <w:rPr>
          <w:rFonts w:ascii="Times New Roman" w:hAnsi="Times New Roman" w:cs="Times New Roman"/>
          <w:sz w:val="28"/>
          <w:szCs w:val="28"/>
        </w:rPr>
        <w:t>is a large and varied number of pathogens</w:t>
      </w:r>
      <w:proofErr w:type="gramEnd"/>
      <w:r w:rsidRPr="00B34391">
        <w:rPr>
          <w:rFonts w:ascii="Times New Roman" w:hAnsi="Times New Roman" w:cs="Times New Roman"/>
          <w:sz w:val="28"/>
          <w:szCs w:val="28"/>
        </w:rPr>
        <w:t>, no single contaminated water supply is apt to contain more than a few of these countless varieties. On one hand this is fortunate but, at the same time it makes detection of pathogens extremely difficult in terms of a routine water analysis. Since both speed and accuracy are essential, laboratory scientists need a sure way to expedite detection of pathogens. They have a dependable answer in a group of readily identified organisms that indicate possible contamination. These indicator organisms are the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Study has proved that these coliform bacteria indicate the presence of human or animal wastes in water. Coliform bacteria naturally exist in the intestines of humans and certain animals. Thus, the presence of these bacteria in water is accepted proof that the water has been contaminated by human or animal wastes. Although such water may contain no pathogens, an infected person, animal or a carrier of disease, could add pathogens at any moment! Thus, immediate corrective action must be taken. The presence of coliform bacteria shows water is contaminated by human wastes and is potentially contaminated with pathogens. In short, these bacteria become a measure of guilt by association. The other side is this: the mere absence of coliform bacteria does not assure there are no pathogens. However, this is considered unlikely. Just how can water be tested for the presence of coliform bacteria? These organisms cause the fermentation of lactose (the crystalline sugar compound in milk). When water containing coliform bacteria is placed in a lactose culture, it will cause fermentation resulting in the form of gas. This confirms the suspicions. The Maximum Acceptable Concentration (MAC) for coliforms in drinking water is zero organisms detectable per 100 mL. Recognizing the danger, what can be done to provide adequate protection against contamination? When a water supply becomes contaminated, correct the problem at once. This means going beyond treatment alone - important as this may be. It is a basic rule of water sanitation to get to the source of the problem and eliminate it. If a well, for example, becomes badly contaminated, it is necessary to trace the contamination to its source and, if possible, remedy the situation. It may even be necessary to seek out a new source of supply.</w:t>
      </w:r>
    </w:p>
    <w:p w:rsidR="007C1DA2" w:rsidRPr="00041C49" w:rsidRDefault="007C1DA2" w:rsidP="007C1DA2">
      <w:pPr>
        <w:pStyle w:val="af1"/>
        <w:rPr>
          <w:rFonts w:ascii="Times New Roman" w:hAnsi="Times New Roman" w:cs="Times New Roman"/>
        </w:rPr>
      </w:pPr>
      <w:r w:rsidRPr="00041C49">
        <w:rPr>
          <w:rFonts w:ascii="Times New Roman" w:hAnsi="Times New Roman" w:cs="Times New Roman"/>
        </w:rPr>
        <w:t>QUESTIONS FOR THINKING AND DISCUSSING</w:t>
      </w:r>
    </w:p>
    <w:p w:rsidR="007C1DA2" w:rsidRPr="00041C49" w:rsidRDefault="007C1DA2" w:rsidP="009C6833">
      <w:pPr>
        <w:pStyle w:val="af1"/>
        <w:numPr>
          <w:ilvl w:val="0"/>
          <w:numId w:val="37"/>
        </w:numPr>
        <w:rPr>
          <w:rFonts w:ascii="Times New Roman" w:hAnsi="Times New Roman" w:cs="Times New Roman"/>
        </w:rPr>
      </w:pPr>
      <w:r w:rsidRPr="00041C49">
        <w:rPr>
          <w:rFonts w:ascii="Times New Roman" w:hAnsi="Times New Roman" w:cs="Times New Roman"/>
        </w:rPr>
        <w:t>List the BATs for treating organic matter in water.</w:t>
      </w:r>
    </w:p>
    <w:p w:rsidR="007C1DA2" w:rsidRPr="00041C49" w:rsidRDefault="007C1DA2" w:rsidP="009C6833">
      <w:pPr>
        <w:pStyle w:val="af1"/>
        <w:numPr>
          <w:ilvl w:val="0"/>
          <w:numId w:val="37"/>
        </w:numPr>
        <w:rPr>
          <w:rFonts w:ascii="Times New Roman" w:hAnsi="Times New Roman" w:cs="Times New Roman"/>
        </w:rPr>
      </w:pPr>
      <w:r w:rsidRPr="00041C49">
        <w:rPr>
          <w:rFonts w:ascii="Times New Roman" w:hAnsi="Times New Roman" w:cs="Times New Roman"/>
        </w:rPr>
        <w:t>Explain what BPTs and BATs are. What are the differences between these two terms?</w:t>
      </w:r>
    </w:p>
    <w:p w:rsidR="007C1DA2" w:rsidRPr="00041C49" w:rsidRDefault="007C1DA2" w:rsidP="009C6833">
      <w:pPr>
        <w:pStyle w:val="af1"/>
        <w:numPr>
          <w:ilvl w:val="0"/>
          <w:numId w:val="37"/>
        </w:numPr>
        <w:rPr>
          <w:rFonts w:ascii="Times New Roman" w:hAnsi="Times New Roman" w:cs="Times New Roman"/>
        </w:rPr>
      </w:pPr>
      <w:r w:rsidRPr="00041C49">
        <w:rPr>
          <w:rFonts w:ascii="Times New Roman" w:hAnsi="Times New Roman" w:cs="Times New Roman"/>
        </w:rPr>
        <w:t>Explain the terms coagulation and flocculation. How do you envision these operations are practiced?</w:t>
      </w:r>
    </w:p>
    <w:p w:rsidR="00B34391" w:rsidRDefault="00B34391" w:rsidP="00B34391">
      <w:pPr>
        <w:ind w:firstLine="720"/>
        <w:jc w:val="both"/>
        <w:rPr>
          <w:rFonts w:ascii="Times New Roman" w:hAnsi="Times New Roman" w:cs="Times New Roman"/>
          <w:sz w:val="28"/>
          <w:szCs w:val="28"/>
        </w:rPr>
      </w:pPr>
    </w:p>
    <w:p w:rsidR="009101BA" w:rsidRPr="006376E4" w:rsidRDefault="009101BA" w:rsidP="00A1302B">
      <w:pPr>
        <w:ind w:firstLine="720"/>
        <w:jc w:val="both"/>
        <w:rPr>
          <w:rFonts w:ascii="Times New Roman" w:hAnsi="Times New Roman" w:cs="Times New Roman"/>
          <w:b/>
          <w:bCs/>
          <w:sz w:val="28"/>
          <w:szCs w:val="28"/>
        </w:rPr>
      </w:pPr>
      <w:bookmarkStart w:id="15" w:name="bookmark18"/>
    </w:p>
    <w:p w:rsidR="009101BA" w:rsidRDefault="009101BA" w:rsidP="00A1302B">
      <w:pPr>
        <w:ind w:firstLine="720"/>
        <w:jc w:val="both"/>
        <w:rPr>
          <w:rFonts w:ascii="Times New Roman" w:hAnsi="Times New Roman" w:cs="Times New Roman"/>
          <w:b/>
          <w:bCs/>
          <w:sz w:val="28"/>
          <w:szCs w:val="28"/>
        </w:rPr>
      </w:pPr>
    </w:p>
    <w:p w:rsidR="00DC55A4" w:rsidRPr="00DC55A4" w:rsidRDefault="00DC55A4" w:rsidP="00A1302B">
      <w:pPr>
        <w:ind w:firstLine="720"/>
        <w:jc w:val="both"/>
        <w:rPr>
          <w:rFonts w:ascii="Times New Roman" w:hAnsi="Times New Roman" w:cs="Times New Roman"/>
          <w:b/>
          <w:bCs/>
          <w:sz w:val="28"/>
          <w:szCs w:val="28"/>
        </w:rPr>
      </w:pPr>
    </w:p>
    <w:p w:rsidR="009101BA" w:rsidRPr="006376E4" w:rsidRDefault="009101BA" w:rsidP="00A1302B">
      <w:pPr>
        <w:ind w:firstLine="720"/>
        <w:jc w:val="both"/>
        <w:rPr>
          <w:rFonts w:ascii="Times New Roman" w:hAnsi="Times New Roman" w:cs="Times New Roman"/>
          <w:b/>
          <w:bCs/>
          <w:sz w:val="28"/>
          <w:szCs w:val="28"/>
        </w:rPr>
      </w:pPr>
    </w:p>
    <w:p w:rsidR="009101BA" w:rsidRPr="006376E4" w:rsidRDefault="009101BA" w:rsidP="00A1302B">
      <w:pPr>
        <w:ind w:firstLine="720"/>
        <w:jc w:val="both"/>
        <w:rPr>
          <w:rFonts w:ascii="Times New Roman" w:hAnsi="Times New Roman" w:cs="Times New Roman"/>
          <w:b/>
          <w:bCs/>
          <w:sz w:val="28"/>
          <w:szCs w:val="28"/>
        </w:rPr>
      </w:pPr>
    </w:p>
    <w:p w:rsidR="009101BA" w:rsidRPr="006376E4" w:rsidRDefault="009101BA" w:rsidP="00A1302B">
      <w:pPr>
        <w:ind w:firstLine="720"/>
        <w:jc w:val="both"/>
        <w:rPr>
          <w:rFonts w:ascii="Times New Roman" w:hAnsi="Times New Roman" w:cs="Times New Roman"/>
          <w:b/>
          <w:bCs/>
          <w:sz w:val="28"/>
          <w:szCs w:val="28"/>
        </w:rPr>
      </w:pPr>
    </w:p>
    <w:p w:rsidR="00B34391" w:rsidRDefault="009101BA" w:rsidP="00A1302B">
      <w:pPr>
        <w:ind w:firstLine="720"/>
        <w:jc w:val="both"/>
        <w:rPr>
          <w:rFonts w:ascii="Times New Roman" w:hAnsi="Times New Roman" w:cs="Times New Roman"/>
          <w:b/>
          <w:bCs/>
          <w:sz w:val="28"/>
          <w:szCs w:val="28"/>
        </w:rPr>
      </w:pPr>
      <w:r>
        <w:rPr>
          <w:rFonts w:ascii="Times New Roman" w:hAnsi="Times New Roman" w:cs="Times New Roman"/>
          <w:b/>
          <w:bCs/>
          <w:sz w:val="28"/>
          <w:szCs w:val="28"/>
        </w:rPr>
        <w:lastRenderedPageBreak/>
        <w:t>PHYZIC</w:t>
      </w:r>
      <w:r w:rsidR="00A1302B">
        <w:rPr>
          <w:rFonts w:ascii="Times New Roman" w:hAnsi="Times New Roman" w:cs="Times New Roman"/>
          <w:b/>
          <w:bCs/>
          <w:sz w:val="28"/>
          <w:szCs w:val="28"/>
        </w:rPr>
        <w:t>A</w:t>
      </w:r>
      <w:r>
        <w:rPr>
          <w:rFonts w:ascii="Times New Roman" w:hAnsi="Times New Roman" w:cs="Times New Roman"/>
          <w:b/>
          <w:bCs/>
          <w:sz w:val="28"/>
          <w:szCs w:val="28"/>
        </w:rPr>
        <w:t>L</w:t>
      </w:r>
      <w:r w:rsidR="00403DFD" w:rsidRPr="00403DFD">
        <w:rPr>
          <w:rFonts w:ascii="Times New Roman" w:hAnsi="Times New Roman" w:cs="Times New Roman"/>
          <w:b/>
          <w:bCs/>
          <w:sz w:val="28"/>
          <w:szCs w:val="28"/>
        </w:rPr>
        <w:t xml:space="preserve">-CHEMICAL TREATMENT </w:t>
      </w:r>
      <w:bookmarkEnd w:id="15"/>
    </w:p>
    <w:p w:rsidR="006834D3" w:rsidRPr="00A1302B" w:rsidRDefault="006834D3" w:rsidP="009C6833">
      <w:pPr>
        <w:numPr>
          <w:ilvl w:val="0"/>
          <w:numId w:val="24"/>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Heat Treatment</w:t>
      </w:r>
    </w:p>
    <w:p w:rsidR="006834D3" w:rsidRPr="00A1302B" w:rsidRDefault="006834D3" w:rsidP="009C6833">
      <w:pPr>
        <w:numPr>
          <w:ilvl w:val="0"/>
          <w:numId w:val="24"/>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Distillation</w:t>
      </w:r>
    </w:p>
    <w:p w:rsidR="006834D3" w:rsidRPr="00A1302B" w:rsidRDefault="006834D3" w:rsidP="009C6833">
      <w:pPr>
        <w:numPr>
          <w:ilvl w:val="0"/>
          <w:numId w:val="24"/>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Slow Sand Filter</w:t>
      </w:r>
    </w:p>
    <w:p w:rsidR="006834D3" w:rsidRPr="00A1302B" w:rsidRDefault="006834D3" w:rsidP="009C6833">
      <w:pPr>
        <w:numPr>
          <w:ilvl w:val="0"/>
          <w:numId w:val="24"/>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Activated Charcoal Filter</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Heat Treatment</w:t>
      </w:r>
      <w:r w:rsidRPr="00B34391">
        <w:rPr>
          <w:rFonts w:ascii="Times New Roman" w:hAnsi="Times New Roman" w:cs="Times New Roman"/>
          <w:sz w:val="28"/>
          <w:szCs w:val="28"/>
        </w:rPr>
        <w:t xml:space="preserve"> - Boiling is one way to purify water of all pathogens. Most experts feel that if the water reaches a rolling boil it is safe. A few still hold out for maintaining the boiling for some length of time, commonly 5 or 10 minutes, plus an extra minute for every 1000 feet of elevation. One reason for the long period of boiling is to inactivate bacterial spores (which can survive boiling), but these spore are unlikely to be waterborne pathogens. Water can also be treated at below boiling temperatures, if contact time is increased. Commercial units are available for residential use, which treat 500 gals of water per day at an estimated cost of $1/1000 gallons for the energy. The process is similar to milk pasteurization, and holds the water at 161° F for 15 seconds. Heat exchangers recover most of the energy used to warm the water. Solar pasteurizers have also been built that can heat three gallons of water to 65° С and hold the temperature for an hour. A higher temperature could be reached, if the device was rotated east to west during the day to follow the sunlight. Regardless of the method, heat treatment does not leave any form of residual to keep the water free of pathogens in storage.</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Reverse Osmosis - Reverse osmosis forces water, under pressure, through a membrane that is impermeable to most contaminants. The membrane is somewhat better at rejecting salts than it is at rejecting non-ionized weak acids and bases and smaller organic molecules (molecular weight below 200). In the latter category are undissociated weak organic acids, amines, phenols, chlorinated hydrocarbons, some pesticides and low molecular weight alcohols. Larger organic molecules and all pathogens are rejected. Of course, it is possible to have </w:t>
      </w:r>
      <w:proofErr w:type="gramStart"/>
      <w:r w:rsidRPr="00B34391">
        <w:rPr>
          <w:rFonts w:ascii="Times New Roman" w:hAnsi="Times New Roman" w:cs="Times New Roman"/>
          <w:sz w:val="28"/>
          <w:szCs w:val="28"/>
        </w:rPr>
        <w:t>a</w:t>
      </w:r>
      <w:proofErr w:type="gramEnd"/>
      <w:r w:rsidRPr="00B34391">
        <w:rPr>
          <w:rFonts w:ascii="Times New Roman" w:hAnsi="Times New Roman" w:cs="Times New Roman"/>
          <w:sz w:val="28"/>
          <w:szCs w:val="28"/>
        </w:rPr>
        <w:t xml:space="preserve"> imperfection in the membrane that could allow molecules or whole pathogens to pass through. Using reverse osmosis to desalinate seawater requires considerable pressure (1000 psi) to operate. Reverse osmosis filters are available that will use normal municipal or private water pressure to remove </w:t>
      </w:r>
      <w:proofErr w:type="gramStart"/>
      <w:r w:rsidRPr="00B34391">
        <w:rPr>
          <w:rFonts w:ascii="Times New Roman" w:hAnsi="Times New Roman" w:cs="Times New Roman"/>
          <w:sz w:val="28"/>
          <w:szCs w:val="28"/>
        </w:rPr>
        <w:t>contaminates</w:t>
      </w:r>
      <w:proofErr w:type="gramEnd"/>
      <w:r w:rsidRPr="00B34391">
        <w:rPr>
          <w:rFonts w:ascii="Times New Roman" w:hAnsi="Times New Roman" w:cs="Times New Roman"/>
          <w:sz w:val="28"/>
          <w:szCs w:val="28"/>
        </w:rPr>
        <w:t xml:space="preserve"> from water. The water produced by reverse osmosis, like distilled water, will be close to pure H20. Therefore mineral intake may need to be increased to compensate for the normal mineral content of water in much of the world.</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Distillation</w:t>
      </w:r>
      <w:r w:rsidRPr="00B34391">
        <w:rPr>
          <w:rFonts w:ascii="Times New Roman" w:hAnsi="Times New Roman" w:cs="Times New Roman"/>
          <w:sz w:val="28"/>
          <w:szCs w:val="28"/>
        </w:rPr>
        <w:t xml:space="preserve"> - Distillation is the evaporation and condensation of water to purify water. Distillation has two disadvantages: 1) A large energy input is required and 2) If simple distillation is used, chemical contaminants with boiling points below water will be condensed along with the water. Distillation is most commonly used to remove dissolved minerals and salts from water. The simplest form of a distillation for use in the home is a solar still. A solar still uses solar radiation to evaporate water below the boiling point, and the cooler ambient air to condense the vapor. The water can be extracted from the soil, vegetation piled in the still, or contaminated water (such as radiator fluid or salt water) can be added to the still. While per still output is low, they are an important technique if water is in short supply. Other forms of distillation require a concentrated heat source to </w:t>
      </w:r>
      <w:r w:rsidRPr="00B34391">
        <w:rPr>
          <w:rFonts w:ascii="Times New Roman" w:hAnsi="Times New Roman" w:cs="Times New Roman"/>
          <w:sz w:val="28"/>
          <w:szCs w:val="28"/>
        </w:rPr>
        <w:lastRenderedPageBreak/>
        <w:t>boil water which is then condensed. Simple stills use a coiling coil to return this heat to the environment. Efficient distillations plants use a vapor compression cycle where the water is boiled off at atmospheric pressure, the steam is compressed, and the condenser condenses the steam above the boiling point of the water in the boiler, returning the heat of fusion to the boiling water. The hot condensed water is run through a second heat exchanger, which heats up the water feeding into the boiler. These plants normally use an internal combustion engine to run the compressor. Waste heat from the engine, including the exhaust, is used to start the process and make up any heat loss.</w:t>
      </w:r>
    </w:p>
    <w:p w:rsidR="00B34391" w:rsidRPr="00B34391" w:rsidRDefault="00B34391" w:rsidP="00B34391">
      <w:pPr>
        <w:ind w:firstLine="720"/>
        <w:jc w:val="both"/>
        <w:rPr>
          <w:rFonts w:ascii="Times New Roman" w:hAnsi="Times New Roman" w:cs="Times New Roman"/>
          <w:sz w:val="28"/>
          <w:szCs w:val="28"/>
        </w:rPr>
      </w:pPr>
      <w:r w:rsidRPr="00B34391">
        <w:rPr>
          <w:rFonts w:ascii="Times New Roman" w:hAnsi="Times New Roman" w:cs="Times New Roman"/>
          <w:sz w:val="28"/>
          <w:szCs w:val="28"/>
        </w:rPr>
        <w:t xml:space="preserve">Microfilters - Microfilters are small-scale filters designed to remove cysts, suspended solids, protozoa, and, in some cases, bacteria from water. Most filters use a ceramic or fiber element that can be cleaned to restore performance as the units are used. Most units and almost all made for camping use a hand pump to force the water through the filter. Others use gravity, either by placing the water to be filtered above the filter (e.g. the Katadyn drip filter), or by placing the filter in the water, and running a siphon hose to a collection vessel located below the filter (e.g. Katadyn siphon filter). Microfilters are the only method, other than boiling, to remove Cryptosporidia. Microfilters do not remove viruses, which many experts do not consider to be a problem in </w:t>
      </w:r>
      <w:smartTag w:uri="urn:schemas-microsoft-com:office:smarttags" w:element="place">
        <w:r w:rsidRPr="00B34391">
          <w:rPr>
            <w:rFonts w:ascii="Times New Roman" w:hAnsi="Times New Roman" w:cs="Times New Roman"/>
            <w:sz w:val="28"/>
            <w:szCs w:val="28"/>
          </w:rPr>
          <w:t>North America</w:t>
        </w:r>
      </w:smartTag>
      <w:r w:rsidRPr="00B34391">
        <w:rPr>
          <w:rFonts w:ascii="Times New Roman" w:hAnsi="Times New Roman" w:cs="Times New Roman"/>
          <w:sz w:val="28"/>
          <w:szCs w:val="28"/>
        </w:rPr>
        <w:t>. Despite this, the Katadyn microfilter has seen considerable use around the world by NATO-member militaries, WHO, UNHCR, and other aid organizations. Microfilters share a problem with charcoal filter in having bacteria grow on the filter medium. Some handle this by impregnating the filter element with silver, such as the Katadyn, others advise against storage of a filter element after it has been used. Many microfilters may include silt prefilters, activated charcoal stages, or an iodine resin. Most filters come with a stainless steel prefilter, but other purchased or improvised filters can be added to reduce the loading on the main filter element. Allowing time for solids to settle, and/or prefiltering will also extend filter life. Iodine matrix filters will kill viruses that will pass through the filter, and if a charcoal stage is used it will remove much of the iodine from the water. Charcoal filters will also remove other dissolved natural or manmade contaminates. Both the iodine and the charcoal stages do not indicate when they reach their useful life, which is much shorter than the filter element.</w:t>
      </w:r>
    </w:p>
    <w:p w:rsidR="00B34391" w:rsidRPr="00B34391" w:rsidRDefault="00B34391" w:rsidP="00B34391">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Slow Sand Filter</w:t>
      </w:r>
      <w:r w:rsidRPr="00B34391">
        <w:rPr>
          <w:rFonts w:ascii="Times New Roman" w:hAnsi="Times New Roman" w:cs="Times New Roman"/>
          <w:sz w:val="28"/>
          <w:szCs w:val="28"/>
        </w:rPr>
        <w:t xml:space="preserve"> - Slow sand filters pass water slowly through a bed of sand. Pathogens and turbidity are removed by natural die-off, biological action, and filtering. Typically the filter will consist of a layer of sand, then a gravel layer in which the drain pipe is embedded. The gravel doesn't touch the walls of the filter, so that water can't run quickly down the wall of the filter and into the gravel. Building the walls with a rough surface also helps. A typical loading rate for the filter is 0.2 meters/hour day (the same as 0.2 m3/m2 of surface area). The filter can be cleaned several times before the sand has to be replaced. Slow sand filters should only be used for continuous water treatment. If a continuous supply of raw water can't be insured (say, using a holding tank), then another method should be chosen. It is also important for the water to have as low turbidity (suspended solids) as possible. Turbidity can be reduced by changing the method of collection </w:t>
      </w:r>
      <w:r w:rsidRPr="00B34391">
        <w:rPr>
          <w:rFonts w:ascii="Times New Roman" w:hAnsi="Times New Roman" w:cs="Times New Roman"/>
          <w:sz w:val="28"/>
          <w:szCs w:val="28"/>
        </w:rPr>
        <w:lastRenderedPageBreak/>
        <w:t xml:space="preserve">(for example, building an infiltration gallery, rather than taking water directly from a creek), allowing time for the material to settle out (using a raw water tank), prefiltering or flocculation (adding a chemical, such as alum to cause the suspended material to floe together.) The SSF filter itself is a large box. The walls should be as rough as possible to reduce the tendency for water to run down the walls of the filter, bypassing the sand. The bottom layer of the filter is a gravel bed, in which a slotted pipe is placed to drain off the filtered water. The slots or the gravel should be no closer than 20 cm to the walls, again, to prevent the water from bypassing the sand. The sand for a SSF needs to be clean and uniform, and of the correct size. The sand can be cleaned in clean running </w:t>
      </w:r>
      <w:proofErr w:type="gramStart"/>
      <w:r w:rsidRPr="00B34391">
        <w:rPr>
          <w:rFonts w:ascii="Times New Roman" w:hAnsi="Times New Roman" w:cs="Times New Roman"/>
          <w:sz w:val="28"/>
          <w:szCs w:val="28"/>
        </w:rPr>
        <w:t>water ,</w:t>
      </w:r>
      <w:proofErr w:type="gramEnd"/>
      <w:r w:rsidRPr="00B34391">
        <w:rPr>
          <w:rFonts w:ascii="Times New Roman" w:hAnsi="Times New Roman" w:cs="Times New Roman"/>
          <w:sz w:val="28"/>
          <w:szCs w:val="28"/>
        </w:rPr>
        <w:t xml:space="preserve"> even if it is in a creek. The ideal specs on sand are effective size (sieve size through which 10% of the sand passes) between 0.15 and 0.35 mm, uniformity coefficient (ratio of sieve sizes through which 60% pass and through which 10% pass) of less than 3; maximum size of 3 mm, and minimum size of 0.1 mm. The sand is added to a SSF to a minimum depth of 0.6 meters. Additional thickness will allow more cleanings before the sand must be replaced. 0.3 to 0.5 meters of extra sand will allow the filter to work for 3-4 years. An improved design uses a geotextile layer on top of the sand to reduce the frequency of cleaning. The outlet of a SSF must be above the sand level, and below the water level. The water must be maintained at a constant level to insure an even flow rate throughout the filter. The flow rate can be increased by lowering the outlet pipe, or increasing the water level. While the SSF will begin to work at once, optimum treatment for pathogens will take a week or more. During this time the water should be chlorinated, if at all possible (iodine can be substituted). After the filter has stabilized, the water should be safe to drink, but chlorinating of the output is still a good idea, particularly to prevent recontamination. As the flow rate slows down the filter will have to be cleaned by draining and removing the top few inches of sand. If a geotextile filter is used, only the top Vz" may have to be removed. As the filter is refilled, it will take a few days for the biological processes to reestablish themselves.</w:t>
      </w:r>
    </w:p>
    <w:p w:rsidR="00B34391" w:rsidRDefault="00B34391" w:rsidP="00B34391">
      <w:pPr>
        <w:ind w:firstLine="720"/>
        <w:jc w:val="both"/>
        <w:rPr>
          <w:rFonts w:ascii="Times New Roman" w:hAnsi="Times New Roman" w:cs="Times New Roman"/>
          <w:sz w:val="28"/>
          <w:szCs w:val="28"/>
          <w:lang w:val="kk-KZ"/>
        </w:rPr>
      </w:pPr>
      <w:r w:rsidRPr="00A1302B">
        <w:rPr>
          <w:rFonts w:ascii="Times New Roman" w:hAnsi="Times New Roman" w:cs="Times New Roman"/>
          <w:i/>
          <w:iCs/>
          <w:sz w:val="28"/>
          <w:szCs w:val="28"/>
        </w:rPr>
        <w:t>Activated Charcoal Filter</w:t>
      </w:r>
      <w:r w:rsidRPr="00B34391">
        <w:rPr>
          <w:rFonts w:ascii="Times New Roman" w:hAnsi="Times New Roman" w:cs="Times New Roman"/>
          <w:sz w:val="28"/>
          <w:szCs w:val="28"/>
        </w:rPr>
        <w:t xml:space="preserve"> - Activated charcoal filters water through adsorption; chemicals and some heavy metals are attracted to the surface of the charcoal, and are attached to it. Charcoal filters will filter some pathogens, though they will quickly use up the filter adsorptive ability, and can even contribute to contamination, as the charcoal provides an excellent breeding ground for bacteria and algae. Some charcoal filters are available impregnated with silver to prevent this, though current research concludes that the bacteria growing on the filter are harmless, even if the water wasn't disinfected before contacting the filter. Activated charcoal can be used in conjunction with chemical treatment. The chemical (iodine or chlorine) will kill the pathogens, while the carbon filter will remove the treatment chemicals. In this case, as the filter reaches its capacity, a distinctive chlorine or iodine taste will be noted. The more activated charcoal in a filter, the longer it will last. The bed of carbon must be deep enough for adequate contact with the water. Production designs use granulated activated charcoal (effective size or 0.6 to 0.9 mm for maximum flow rate). Home or field models can also use a compressed carbon block or powered activated charcoal (effective size </w:t>
      </w:r>
      <w:r w:rsidRPr="00B34391">
        <w:rPr>
          <w:rFonts w:ascii="Times New Roman" w:hAnsi="Times New Roman" w:cs="Times New Roman"/>
          <w:sz w:val="28"/>
          <w:szCs w:val="28"/>
        </w:rPr>
        <w:lastRenderedPageBreak/>
        <w:t>0.01) to increase contact area. Powered charcoal can also be mixed with water and filtered out later. As far as life of the filter is concerned, carbon block filters will last the longest for a given size, simply due to their greater mass of carbon. A source of pressure is usually needed with carbon block filters to achieve a reasonable flow rate.</w:t>
      </w:r>
    </w:p>
    <w:p w:rsidR="006834D3" w:rsidRPr="006834D3" w:rsidRDefault="006834D3" w:rsidP="00B34391">
      <w:pPr>
        <w:ind w:firstLine="720"/>
        <w:jc w:val="both"/>
        <w:rPr>
          <w:rFonts w:ascii="Times New Roman" w:hAnsi="Times New Roman" w:cs="Times New Roman"/>
          <w:sz w:val="28"/>
          <w:szCs w:val="28"/>
          <w:lang w:val="kk-KZ"/>
        </w:rPr>
      </w:pPr>
    </w:p>
    <w:p w:rsidR="005C09C2" w:rsidRPr="00041C49" w:rsidRDefault="005C09C2" w:rsidP="005C09C2">
      <w:pPr>
        <w:pStyle w:val="af1"/>
        <w:rPr>
          <w:rFonts w:ascii="Times New Roman" w:hAnsi="Times New Roman" w:cs="Times New Roman"/>
        </w:rPr>
      </w:pPr>
      <w:bookmarkStart w:id="16" w:name="bookmark30"/>
      <w:r w:rsidRPr="00041C49">
        <w:rPr>
          <w:rFonts w:ascii="Times New Roman" w:hAnsi="Times New Roman" w:cs="Times New Roman"/>
        </w:rPr>
        <w:t>QUESTIONS FOR THINKING AND DISCUSSING</w:t>
      </w:r>
    </w:p>
    <w:p w:rsidR="005C09C2" w:rsidRPr="00041C49" w:rsidRDefault="005C09C2" w:rsidP="009C6833">
      <w:pPr>
        <w:pStyle w:val="af1"/>
        <w:numPr>
          <w:ilvl w:val="0"/>
          <w:numId w:val="7"/>
        </w:numPr>
        <w:rPr>
          <w:rFonts w:ascii="Times New Roman" w:hAnsi="Times New Roman" w:cs="Times New Roman"/>
        </w:rPr>
      </w:pPr>
      <w:r w:rsidRPr="00041C49">
        <w:rPr>
          <w:rFonts w:ascii="Times New Roman" w:hAnsi="Times New Roman" w:cs="Times New Roman"/>
        </w:rPr>
        <w:t>What are coliforms and how are they introduced inot water supplies?</w:t>
      </w:r>
    </w:p>
    <w:p w:rsidR="005C09C2" w:rsidRPr="00041C49" w:rsidRDefault="005C09C2" w:rsidP="009C6833">
      <w:pPr>
        <w:pStyle w:val="af1"/>
        <w:numPr>
          <w:ilvl w:val="0"/>
          <w:numId w:val="7"/>
        </w:numPr>
        <w:rPr>
          <w:rFonts w:ascii="Times New Roman" w:hAnsi="Times New Roman" w:cs="Times New Roman"/>
        </w:rPr>
      </w:pPr>
      <w:r w:rsidRPr="00041C49">
        <w:rPr>
          <w:rFonts w:ascii="Times New Roman" w:hAnsi="Times New Roman" w:cs="Times New Roman"/>
        </w:rPr>
        <w:t>Make a list of heavy metals that can contaminate water sources? What are some of the health effects associated with ingesting water contaminated by heavy metals?</w:t>
      </w:r>
    </w:p>
    <w:p w:rsidR="005C09C2" w:rsidRPr="00041C49" w:rsidRDefault="005C09C2" w:rsidP="009C6833">
      <w:pPr>
        <w:pStyle w:val="af1"/>
        <w:numPr>
          <w:ilvl w:val="0"/>
          <w:numId w:val="7"/>
        </w:numPr>
        <w:rPr>
          <w:rFonts w:ascii="Times New Roman" w:hAnsi="Times New Roman" w:cs="Times New Roman"/>
        </w:rPr>
      </w:pPr>
      <w:r w:rsidRPr="00041C49">
        <w:rPr>
          <w:rFonts w:ascii="Times New Roman" w:hAnsi="Times New Roman" w:cs="Times New Roman"/>
        </w:rPr>
        <w:t>Briefly explain what nanofiltration is.</w:t>
      </w:r>
    </w:p>
    <w:p w:rsidR="00B34391" w:rsidRDefault="00B34391" w:rsidP="00B34391">
      <w:pPr>
        <w:ind w:firstLine="720"/>
        <w:jc w:val="both"/>
        <w:rPr>
          <w:rFonts w:ascii="Times New Roman" w:hAnsi="Times New Roman" w:cs="Times New Roman"/>
          <w:lang w:val="kk-KZ"/>
        </w:rPr>
      </w:pPr>
    </w:p>
    <w:p w:rsidR="006834D3" w:rsidRPr="00222C44" w:rsidRDefault="006834D3" w:rsidP="00B34391">
      <w:pPr>
        <w:ind w:firstLine="720"/>
        <w:jc w:val="both"/>
        <w:rPr>
          <w:rFonts w:ascii="Times New Roman" w:hAnsi="Times New Roman" w:cs="Times New Roman"/>
        </w:rPr>
      </w:pPr>
    </w:p>
    <w:p w:rsidR="00403DFD" w:rsidRDefault="00217B4C" w:rsidP="00217B4C">
      <w:pPr>
        <w:ind w:firstLine="720"/>
        <w:jc w:val="both"/>
        <w:rPr>
          <w:rFonts w:ascii="Times New Roman" w:hAnsi="Times New Roman" w:cs="Times New Roman"/>
          <w:sz w:val="28"/>
          <w:szCs w:val="28"/>
        </w:rPr>
      </w:pPr>
      <w:r w:rsidRPr="00217B4C">
        <w:rPr>
          <w:rFonts w:ascii="Times New Roman" w:hAnsi="Times New Roman" w:cs="Times New Roman"/>
          <w:b/>
          <w:bCs/>
          <w:color w:val="auto"/>
          <w:sz w:val="28"/>
          <w:szCs w:val="28"/>
        </w:rPr>
        <w:t xml:space="preserve"> </w:t>
      </w:r>
      <w:r w:rsidRPr="00217B4C">
        <w:rPr>
          <w:rFonts w:ascii="Times New Roman" w:hAnsi="Times New Roman" w:cs="Times New Roman"/>
          <w:b/>
          <w:bCs/>
          <w:sz w:val="28"/>
          <w:szCs w:val="28"/>
        </w:rPr>
        <w:t>ION EXCHANGE AND CARBON ADSORPTION</w:t>
      </w:r>
      <w:r w:rsidRPr="003C54C3">
        <w:rPr>
          <w:rFonts w:ascii="Times New Roman" w:hAnsi="Times New Roman" w:cs="Times New Roman"/>
          <w:sz w:val="28"/>
          <w:szCs w:val="28"/>
        </w:rPr>
        <w:t xml:space="preserve"> </w:t>
      </w:r>
    </w:p>
    <w:p w:rsidR="009101BA" w:rsidRDefault="009101BA" w:rsidP="00217B4C">
      <w:pPr>
        <w:ind w:firstLine="900"/>
        <w:jc w:val="both"/>
        <w:rPr>
          <w:rFonts w:ascii="Times New Roman" w:hAnsi="Times New Roman" w:cs="Times New Roman"/>
          <w:i/>
          <w:iCs/>
          <w:sz w:val="28"/>
          <w:szCs w:val="28"/>
        </w:rPr>
      </w:pPr>
    </w:p>
    <w:p w:rsidR="00217B4C" w:rsidRPr="003C54C3" w:rsidRDefault="00217B4C" w:rsidP="00217B4C">
      <w:pPr>
        <w:ind w:firstLine="900"/>
        <w:jc w:val="both"/>
        <w:rPr>
          <w:rFonts w:ascii="Times New Roman" w:hAnsi="Times New Roman" w:cs="Times New Roman"/>
          <w:sz w:val="28"/>
          <w:szCs w:val="28"/>
        </w:rPr>
      </w:pPr>
      <w:r w:rsidRPr="00A1302B">
        <w:rPr>
          <w:rFonts w:ascii="Times New Roman" w:hAnsi="Times New Roman" w:cs="Times New Roman"/>
          <w:i/>
          <w:iCs/>
          <w:sz w:val="28"/>
          <w:szCs w:val="28"/>
        </w:rPr>
        <w:t>Ion exchange and carbon adsorption</w:t>
      </w:r>
      <w:r w:rsidRPr="003C54C3">
        <w:rPr>
          <w:rFonts w:ascii="Times New Roman" w:hAnsi="Times New Roman" w:cs="Times New Roman"/>
          <w:sz w:val="28"/>
          <w:szCs w:val="28"/>
        </w:rPr>
        <w:t xml:space="preserve"> are unrelated technologies, and often have different objectives. They are however oftentimes used in compliment to achieve</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Ion exchange is a reversible chemical reaction wherein an ion (an atom or molecule that has lost or gained an electron and thus acquired an electrical charge) from solution is exchanged for a similarly charged ion attached to an immobile solid particle. These solid ion exchange particles are either naturally occurring inorganic zeolites or synthetically produced organic resins. The synthetic organic resins are the predominant type used today because their characteristics can be tailored to specific applications. An organic ion exchange resin is composed of high- molecular-weight polyelectrolytes that can exchange their mobile ions for ions of similar charge from the surrounding medium. Each resin has a distinct number of mobile ion sites that set the maximum quantity of exchanges per unit of resin. The industry application most familiar with ion exchange technology is metal plating. Most plating process water is used to cleanse the surface of the parts after each process bath. To maintain quality standards, the level of dissolved solids in the rinse water must be regulated. Fresh water added to the rinse tank accomplishes this purpose, and the overflow water is treated to remove pollutants and then discharged. As the metal salts, acids, and bases used in metal finishing are primarily inorganic compounds, they are ionized in water and could be removed by contact with ion exchange resins. In a water deionization process, the resins exchange hydrogen ions (H+) for the positively charged ions (such as nickel, copper, and sodium), and hydroxyl ions (</w:t>
      </w:r>
      <w:smartTag w:uri="urn:schemas-microsoft-com:office:smarttags" w:element="place">
        <w:smartTag w:uri="urn:schemas-microsoft-com:office:smarttags" w:element="State">
          <w:r w:rsidRPr="003C54C3">
            <w:rPr>
              <w:rFonts w:ascii="Times New Roman" w:hAnsi="Times New Roman" w:cs="Times New Roman"/>
              <w:sz w:val="28"/>
              <w:szCs w:val="28"/>
            </w:rPr>
            <w:t>OH-</w:t>
          </w:r>
        </w:smartTag>
      </w:smartTag>
      <w:r w:rsidRPr="003C54C3">
        <w:rPr>
          <w:rFonts w:ascii="Times New Roman" w:hAnsi="Times New Roman" w:cs="Times New Roman"/>
          <w:sz w:val="28"/>
          <w:szCs w:val="28"/>
        </w:rPr>
        <w:t xml:space="preserve">) for negatively charged sulfates, chromates. </w:t>
      </w:r>
      <w:proofErr w:type="gramStart"/>
      <w:r w:rsidRPr="003C54C3">
        <w:rPr>
          <w:rFonts w:ascii="Times New Roman" w:hAnsi="Times New Roman" w:cs="Times New Roman"/>
          <w:sz w:val="28"/>
          <w:szCs w:val="28"/>
        </w:rPr>
        <w:t>and</w:t>
      </w:r>
      <w:proofErr w:type="gramEnd"/>
      <w:r w:rsidRPr="003C54C3">
        <w:rPr>
          <w:rFonts w:ascii="Times New Roman" w:hAnsi="Times New Roman" w:cs="Times New Roman"/>
          <w:sz w:val="28"/>
          <w:szCs w:val="28"/>
        </w:rPr>
        <w:t xml:space="preserve"> chlorides. Because the quantity of H+ and OH ions is balanced, the result of the ion exchange treatment is relatively pure, neutral water. Ion exchange technology is applied in many other industry sectors, including the petroleum and chemical industries, as well as general wastewater treatment applications. The technology is most often compared to reverse osmosis, since both technologies are often aimed at similar objectives. In this regard, in addition to discussing ion exchange as a technology, we will also review some of the operational tradeoffs and</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lastRenderedPageBreak/>
        <w:t xml:space="preserve">The history of carbon adsoprtion in the pruification of water dates back to ancient times. Adsorption on porous carbons was described as early as 1550 B.C. in an ancient Egyptian papyrus and later by Hippocrates and Pliny the Elder, mainly for medicinal purposes. In the 18th century, carbons made from blood, wood and animals were used for the purification of liquids. All of these materials, which can be considered as precursors of activated carbons, were only available as powders. The typical technology of application was the so-called batch contact treatment, where a measured quantity of carbon and the liquid to be treated were mixed and, after a certain contact time, separated by filtration or sedimentation. At the beginning of the 19th century the decolourisation power of bone char was detected and used in the sugar industry in </w:t>
      </w:r>
      <w:smartTag w:uri="urn:schemas-microsoft-com:office:smarttags" w:element="place">
        <w:smartTag w:uri="urn:schemas-microsoft-com:office:smarttags" w:element="country-region">
          <w:r w:rsidRPr="003C54C3">
            <w:rPr>
              <w:rFonts w:ascii="Times New Roman" w:hAnsi="Times New Roman" w:cs="Times New Roman"/>
              <w:sz w:val="28"/>
              <w:szCs w:val="28"/>
            </w:rPr>
            <w:t>England</w:t>
          </w:r>
        </w:smartTag>
      </w:smartTag>
      <w:r w:rsidRPr="003C54C3">
        <w:rPr>
          <w:rFonts w:ascii="Times New Roman" w:hAnsi="Times New Roman" w:cs="Times New Roman"/>
          <w:sz w:val="28"/>
          <w:szCs w:val="28"/>
        </w:rPr>
        <w:t xml:space="preserve">. Bone char was available as a granular material which allowed the use of percolation technology, where the liquid to be treated was continuously passed through a column. Bone char, however, consists mainly of calcium phosphate and a small percentage of carbon; this </w:t>
      </w:r>
      <w:proofErr w:type="gramStart"/>
      <w:r w:rsidRPr="003C54C3">
        <w:rPr>
          <w:rFonts w:ascii="Times New Roman" w:hAnsi="Times New Roman" w:cs="Times New Roman"/>
          <w:sz w:val="28"/>
          <w:szCs w:val="28"/>
        </w:rPr>
        <w:t>material,</w:t>
      </w:r>
      <w:proofErr w:type="gramEnd"/>
      <w:r w:rsidRPr="003C54C3">
        <w:rPr>
          <w:rFonts w:ascii="Times New Roman" w:hAnsi="Times New Roman" w:cs="Times New Roman"/>
          <w:sz w:val="28"/>
          <w:szCs w:val="28"/>
        </w:rPr>
        <w:t xml:space="preserve"> therefore was only used for sugar purification. At the beginning of the 20m century the first processes were developed to produce activated carbons with defined properties on an industrial scale. However, the steam activation and chemical activation processes could only produce powder activated carbon. During the First World War, steam activation of coconut char was developed in the </w:t>
      </w:r>
      <w:smartTag w:uri="urn:schemas-microsoft-com:office:smarttags" w:element="place">
        <w:smartTag w:uri="urn:schemas-microsoft-com:office:smarttags" w:element="country-region">
          <w:r w:rsidRPr="003C54C3">
            <w:rPr>
              <w:rFonts w:ascii="Times New Roman" w:hAnsi="Times New Roman" w:cs="Times New Roman"/>
              <w:sz w:val="28"/>
              <w:szCs w:val="28"/>
            </w:rPr>
            <w:t>United States</w:t>
          </w:r>
        </w:smartTag>
      </w:smartTag>
      <w:r w:rsidRPr="003C54C3">
        <w:rPr>
          <w:rFonts w:ascii="Times New Roman" w:hAnsi="Times New Roman" w:cs="Times New Roman"/>
          <w:sz w:val="28"/>
          <w:szCs w:val="28"/>
        </w:rPr>
        <w:t xml:space="preserve"> for use in gas masks. This activated carbon type contains mainly fine adsorption pore structures suited for gas phase applications.</w:t>
      </w:r>
    </w:p>
    <w:p w:rsidR="00217B4C" w:rsidRPr="00A1302B" w:rsidRDefault="00A1302B" w:rsidP="00217B4C">
      <w:pPr>
        <w:ind w:firstLine="900"/>
        <w:jc w:val="both"/>
        <w:rPr>
          <w:rFonts w:ascii="Times New Roman" w:hAnsi="Times New Roman" w:cs="Times New Roman"/>
          <w:i/>
          <w:iCs/>
          <w:sz w:val="28"/>
          <w:szCs w:val="28"/>
        </w:rPr>
      </w:pPr>
      <w:bookmarkStart w:id="17" w:name="bookmark184"/>
      <w:proofErr w:type="gramStart"/>
      <w:r w:rsidRPr="00A1302B">
        <w:rPr>
          <w:rFonts w:ascii="Times New Roman" w:hAnsi="Times New Roman" w:cs="Times New Roman"/>
          <w:i/>
          <w:iCs/>
          <w:sz w:val="28"/>
          <w:szCs w:val="28"/>
        </w:rPr>
        <w:t>theory</w:t>
      </w:r>
      <w:proofErr w:type="gramEnd"/>
      <w:r w:rsidRPr="00A1302B">
        <w:rPr>
          <w:rFonts w:ascii="Times New Roman" w:hAnsi="Times New Roman" w:cs="Times New Roman"/>
          <w:i/>
          <w:iCs/>
          <w:sz w:val="28"/>
          <w:szCs w:val="28"/>
        </w:rPr>
        <w:t xml:space="preserve"> and practice of ion exchange</w:t>
      </w:r>
      <w:bookmarkEnd w:id="17"/>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Water can contain varying concentrations of dissolved salts which dissociate to form charged particles called ions. These ions are the positively charged cations and negatively charged anions that permit the water or solution to conduct electrical currents and are therefore called electrolytes. Electrical conductivity is thus a measure of water purity, with low conductivity corresponding to a state of high purity. The process of ion exchange is uniquely suited to the removal of ionic species from water supplies for several reasons. First, ionic impurities may be present in rather low concentrations. Second, modern ion-exchange resins have high capacities and can remove unwanted ions preferentially. Third, modem ion-exchange resins are stable and readily regenerated, thereby allowing their reuse. Other advantages ion exchange offers are: (1) the process and equipment are a proven technology. Designs are well developed into pre-engineered units that are rugged and reliable, with well-established applications; (2) fully manual to completely automatic units are available; (3) there are many models of ion-exchange systems on the market which keep costs competitive; (4) temperature effects over a fairly wide range (from 0° to 35° C) are negligible; (5) the technology is excellent for both small and large installations, from home water</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 xml:space="preserve">Ion exchange is a well-known method for softening or for demineralizing water. Although softening could be useful in some instances, the most likely application for ion exchange in wastewater treatment is for demineralization. Many ion-exchange materials are subject to fouling by organic matter. It is possible that treatment of secondary effluent for suspended-solids removal and possibly soluble </w:t>
      </w:r>
      <w:r w:rsidRPr="003C54C3">
        <w:rPr>
          <w:rFonts w:ascii="Times New Roman" w:hAnsi="Times New Roman" w:cs="Times New Roman"/>
          <w:sz w:val="28"/>
          <w:szCs w:val="28"/>
        </w:rPr>
        <w:lastRenderedPageBreak/>
        <w:t>organic removal will be required before carrying out ion exchange. Many natural materials and, more importantly, certain synthetic materials have the ability to exchange ions from an aqueous solution for ions in the material itself. Cation-exchange resins can, for example, replace cations in solution with hydrogen ions. Similarly, anion-exchange resins can either replace anions in solution with hydroxyl ions or absorb the acids produced from the cation-exchange treatment. A combination of these cation-exchange and anion-exchange treatments results in a</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 xml:space="preserve">Since the exchange capacity of ion-exchange materials is limited, they eventually become exhausted and must be regenerated. The cation resin is regenerated with an acid; the anion resin is regenerated with a base. Important considerations in the economics of ion exchange are the type and amounts of chemicals needed for regeneration. Often, water to be demineralized is first passed through a cation-exchange material requiring a strong acid, usually sulfuric, for regeneration. The exchange material is referred to as strong acid resin. The amount of acid regenerant is somewhat more than the stoichiometric amount, possibly 100 percent excess or more. If sulfuric acid is the regenerating acid, </w:t>
      </w:r>
      <w:proofErr w:type="gramStart"/>
      <w:r w:rsidRPr="003C54C3">
        <w:rPr>
          <w:rFonts w:ascii="Times New Roman" w:hAnsi="Times New Roman" w:cs="Times New Roman"/>
          <w:sz w:val="28"/>
          <w:szCs w:val="28"/>
        </w:rPr>
        <w:t>a waste</w:t>
      </w:r>
      <w:proofErr w:type="gramEnd"/>
      <w:r w:rsidRPr="003C54C3">
        <w:rPr>
          <w:rFonts w:ascii="Times New Roman" w:hAnsi="Times New Roman" w:cs="Times New Roman"/>
          <w:sz w:val="28"/>
          <w:szCs w:val="28"/>
        </w:rPr>
        <w:t xml:space="preserve"> brine is produced consisting of sulfates of the various actions in the water being treated. Because the partially treated water contains mineral acids, it is common to pass it next through an acid-absorbing resin or weak base resin. This resin can be regenerated with either a weak or strong base. The efficiency of regenerant use is quite high with these resins. If sodium hydroxide is the regenerating base, </w:t>
      </w:r>
      <w:proofErr w:type="gramStart"/>
      <w:r w:rsidRPr="003C54C3">
        <w:rPr>
          <w:rFonts w:ascii="Times New Roman" w:hAnsi="Times New Roman" w:cs="Times New Roman"/>
          <w:sz w:val="28"/>
          <w:szCs w:val="28"/>
        </w:rPr>
        <w:t>a waste</w:t>
      </w:r>
      <w:proofErr w:type="gramEnd"/>
      <w:r w:rsidRPr="003C54C3">
        <w:rPr>
          <w:rFonts w:ascii="Times New Roman" w:hAnsi="Times New Roman" w:cs="Times New Roman"/>
          <w:sz w:val="28"/>
          <w:szCs w:val="28"/>
        </w:rPr>
        <w:t xml:space="preserve"> brine is produced consisting of the sodium salts of the various anions in the water being treated. Certain anionic materials are not removed by the weak-base resin and must be further treated with strong-base resin if thorough demineralization is desired. Regenerant usage by the strong-base resins is poorer than for the weak base resins. The reasons for applying this technology in the removal of mineral species should be quite apparent to those of you who work with applications involving heat exchange. Water problems in cooling, heating, steam </w:t>
      </w:r>
      <w:proofErr w:type="gramStart"/>
      <w:r w:rsidRPr="003C54C3">
        <w:rPr>
          <w:rFonts w:ascii="Times New Roman" w:hAnsi="Times New Roman" w:cs="Times New Roman"/>
          <w:sz w:val="28"/>
          <w:szCs w:val="28"/>
        </w:rPr>
        <w:t>generation,</w:t>
      </w:r>
      <w:proofErr w:type="gramEnd"/>
      <w:r w:rsidRPr="003C54C3">
        <w:rPr>
          <w:rFonts w:ascii="Times New Roman" w:hAnsi="Times New Roman" w:cs="Times New Roman"/>
          <w:sz w:val="28"/>
          <w:szCs w:val="28"/>
        </w:rPr>
        <w:t xml:space="preserve"> and manufacturing are caused in large measure from the kinds and concentrations of dissolved solids, dissolved gases, and suspended matter in the makeup water supplied. Table 1 lists the major objectionable ionic constituents present in many water supplies that can be removed by demineralization. Prevention of scale and other deposits in cooling and boiling waters is best accomplished by removal of dissolved solids. Whereas in municipal water purification such removal is limited to the partial reduction of hardness and the removal of iron and manganese, in industrial water treatment it is often carried much further and may include the complete removal of hardness, the reduction or removal of alkalinity, the removal of silica, or even the complete removal of all dissolved solids.</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 xml:space="preserve">The two most frequently encountered water problems-scale formation and corrosion-are common to cooling, heating, and steam-generating systems. Hardness (calcium and magnesium), alkalinity, sulfate, and silica all form the main source of scaling in heat-exchange equipment, boilers, and pipes. Scales or deposits formed in boilers and other exchange equipment act as insulation, preventing efficient heat transfer and causing boiler tube failures through overheating of the metal. Free mineral acids (sulfates and chlorides) cause rapid </w:t>
      </w:r>
      <w:r w:rsidRPr="003C54C3">
        <w:rPr>
          <w:rFonts w:ascii="Times New Roman" w:hAnsi="Times New Roman" w:cs="Times New Roman"/>
          <w:sz w:val="28"/>
          <w:szCs w:val="28"/>
        </w:rPr>
        <w:lastRenderedPageBreak/>
        <w:t>corrosion of boilers, heaters, and other metal containers and piping. Alkalinity causes embrittlement of boiler steel, and carbon dioxide and oxygen cause corrosion, primarily in steam and condensate lines. Low-quality steam can produce undesirable deposits of salts and alkali on the blades of steam turbines; much more difficult to remove are silica deposits which can form on turbine blades even when steam is satisfactory by ordinary standards. At steam pressures above 600 psi, silica from the boiler water actually dissolves in the gaseous steam and then reprecipitates on the turbine blades</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In the operation of every cooling, heating, and steam-generating plant, the water changes temperature. Higher temperatures, of course, increase both corrosion rates and scale-forming tendency. Evaporation in process steam boilers and in evaporative cooling equipment increases the dissolved-solids concentration of the</w:t>
      </w:r>
    </w:p>
    <w:p w:rsidR="00217B4C" w:rsidRPr="003C54C3" w:rsidRDefault="00217B4C" w:rsidP="00217B4C">
      <w:pPr>
        <w:ind w:firstLine="900"/>
        <w:jc w:val="both"/>
        <w:rPr>
          <w:rFonts w:ascii="Times New Roman" w:hAnsi="Times New Roman" w:cs="Times New Roman"/>
          <w:sz w:val="28"/>
          <w:szCs w:val="28"/>
        </w:rPr>
      </w:pPr>
      <w:r w:rsidRPr="003C54C3">
        <w:rPr>
          <w:rFonts w:ascii="Times New Roman" w:hAnsi="Times New Roman" w:cs="Times New Roman"/>
          <w:sz w:val="28"/>
          <w:szCs w:val="28"/>
        </w:rPr>
        <w:t xml:space="preserve">In addition to the formation of scale or corrosion of metal within boilers, auxiliary equipment is also susceptible to similar damage. Attempts to prevent scale formation within a boiler can lead to makeup line deposits if the treatment chemicals are improperly chosen. Thus, the addition of normal phosphates to </w:t>
      </w:r>
      <w:proofErr w:type="gramStart"/>
      <w:r w:rsidRPr="003C54C3">
        <w:rPr>
          <w:rFonts w:ascii="Times New Roman" w:hAnsi="Times New Roman" w:cs="Times New Roman"/>
          <w:sz w:val="28"/>
          <w:szCs w:val="28"/>
        </w:rPr>
        <w:t>an unsoftened</w:t>
      </w:r>
      <w:proofErr w:type="gramEnd"/>
      <w:r w:rsidRPr="003C54C3">
        <w:rPr>
          <w:rFonts w:ascii="Times New Roman" w:hAnsi="Times New Roman" w:cs="Times New Roman"/>
          <w:sz w:val="28"/>
          <w:szCs w:val="28"/>
        </w:rPr>
        <w:t xml:space="preserve"> feed water can cause a dangerous condition by clogging the makeup line with precipitated calcium phosphate. Deposits in the form of calcium or magnesium stearate deposits, otherwise known as "bathtub ring" can be readily seen, and are caused by the combination of calcium or magnesium with negative ions of soap</w:t>
      </w:r>
    </w:p>
    <w:p w:rsidR="00217B4C" w:rsidRPr="00A1302B" w:rsidRDefault="00A1302B" w:rsidP="00217B4C">
      <w:pPr>
        <w:ind w:firstLine="900"/>
        <w:jc w:val="both"/>
        <w:rPr>
          <w:rFonts w:ascii="Times New Roman" w:hAnsi="Times New Roman" w:cs="Times New Roman"/>
          <w:i/>
          <w:iCs/>
          <w:sz w:val="28"/>
          <w:szCs w:val="28"/>
        </w:rPr>
      </w:pPr>
      <w:proofErr w:type="gramStart"/>
      <w:r w:rsidRPr="00A1302B">
        <w:rPr>
          <w:rFonts w:ascii="Times New Roman" w:hAnsi="Times New Roman" w:cs="Times New Roman"/>
          <w:i/>
          <w:iCs/>
          <w:sz w:val="28"/>
          <w:szCs w:val="28"/>
        </w:rPr>
        <w:t>how</w:t>
      </w:r>
      <w:proofErr w:type="gramEnd"/>
      <w:r w:rsidRPr="00A1302B">
        <w:rPr>
          <w:rFonts w:ascii="Times New Roman" w:hAnsi="Times New Roman" w:cs="Times New Roman"/>
          <w:i/>
          <w:iCs/>
          <w:sz w:val="28"/>
          <w:szCs w:val="28"/>
        </w:rPr>
        <w:t xml:space="preserve"> ion exchange works</w:t>
      </w:r>
    </w:p>
    <w:p w:rsidR="00217B4C" w:rsidRDefault="00217B4C" w:rsidP="00A1302B">
      <w:pPr>
        <w:ind w:firstLine="900"/>
        <w:jc w:val="both"/>
        <w:rPr>
          <w:rFonts w:ascii="Times New Roman" w:hAnsi="Times New Roman" w:cs="Times New Roman"/>
          <w:sz w:val="28"/>
          <w:szCs w:val="28"/>
        </w:rPr>
      </w:pPr>
      <w:r w:rsidRPr="003C54C3">
        <w:rPr>
          <w:rFonts w:ascii="Times New Roman" w:hAnsi="Times New Roman" w:cs="Times New Roman"/>
          <w:sz w:val="28"/>
          <w:szCs w:val="28"/>
        </w:rPr>
        <w:t>Ion exchangers are materials that can exchange one ion for another, hold it temporarily, and then release it to a regenerant solution. In a typical demineralizer, this is accomplished in the following manner: The influent water is passed through a hydrogen cation-exchange resin which converts the influent salt (e.g., sodium sulfate) to the corresponding acid (e.g., sulfuric acid) by exchanging an equivalent number of hydrogen (H +) ions for the metallic cations (Ca+2, Mg+2, Na+). These acids are then removed by passing the effluent through an alkali regenerated anion-exchange resin which replaces the anions in solution (Cl', S04", N03') with an equivalent number of hydroxide ions. The hydrogen ions and hydroxide ions neutralize each other to form an equivalent amount of pure water. During regeneration, the reverse reaction takes place</w:t>
      </w:r>
      <w:proofErr w:type="gramStart"/>
      <w:r w:rsidRPr="003C54C3">
        <w:rPr>
          <w:rFonts w:ascii="Times New Roman" w:hAnsi="Times New Roman" w:cs="Times New Roman"/>
          <w:sz w:val="28"/>
          <w:szCs w:val="28"/>
        </w:rPr>
        <w:t>..</w:t>
      </w:r>
      <w:proofErr w:type="gramEnd"/>
    </w:p>
    <w:p w:rsidR="005C09C2" w:rsidRDefault="005C09C2" w:rsidP="00217B4C">
      <w:pPr>
        <w:ind w:firstLine="900"/>
        <w:jc w:val="both"/>
        <w:rPr>
          <w:rFonts w:ascii="Times New Roman" w:hAnsi="Times New Roman" w:cs="Times New Roman"/>
          <w:sz w:val="28"/>
          <w:szCs w:val="28"/>
        </w:rPr>
      </w:pPr>
    </w:p>
    <w:p w:rsidR="005C09C2" w:rsidRPr="00041C49" w:rsidRDefault="005C09C2" w:rsidP="005C09C2">
      <w:pPr>
        <w:pStyle w:val="af1"/>
        <w:rPr>
          <w:rFonts w:ascii="Times New Roman" w:hAnsi="Times New Roman" w:cs="Times New Roman"/>
        </w:rPr>
      </w:pPr>
      <w:r w:rsidRPr="00041C49">
        <w:rPr>
          <w:rFonts w:ascii="Times New Roman" w:hAnsi="Times New Roman" w:cs="Times New Roman"/>
        </w:rPr>
        <w:t>QUESTIONS FOR THINKING AND DISCUSSING</w:t>
      </w:r>
    </w:p>
    <w:p w:rsidR="005C09C2" w:rsidRPr="00041C49" w:rsidRDefault="005C09C2" w:rsidP="009C6833">
      <w:pPr>
        <w:pStyle w:val="af1"/>
        <w:numPr>
          <w:ilvl w:val="0"/>
          <w:numId w:val="8"/>
        </w:numPr>
        <w:rPr>
          <w:rFonts w:ascii="Times New Roman" w:hAnsi="Times New Roman" w:cs="Times New Roman"/>
        </w:rPr>
      </w:pPr>
      <w:r w:rsidRPr="00041C49">
        <w:rPr>
          <w:rFonts w:ascii="Times New Roman" w:hAnsi="Times New Roman" w:cs="Times New Roman"/>
        </w:rPr>
        <w:t>What are coliforms and how are they introduced inot water supplies?</w:t>
      </w:r>
    </w:p>
    <w:p w:rsidR="005C09C2" w:rsidRPr="00041C49" w:rsidRDefault="005C09C2" w:rsidP="009C6833">
      <w:pPr>
        <w:pStyle w:val="af1"/>
        <w:numPr>
          <w:ilvl w:val="0"/>
          <w:numId w:val="8"/>
        </w:numPr>
        <w:rPr>
          <w:rFonts w:ascii="Times New Roman" w:hAnsi="Times New Roman" w:cs="Times New Roman"/>
        </w:rPr>
      </w:pPr>
      <w:r w:rsidRPr="00041C49">
        <w:rPr>
          <w:rFonts w:ascii="Times New Roman" w:hAnsi="Times New Roman" w:cs="Times New Roman"/>
        </w:rPr>
        <w:t>Make a list of heavy metals that can contaminate water sources? What are some of the health effects associated with ingesting water contaminated by heavy metals?</w:t>
      </w:r>
    </w:p>
    <w:p w:rsidR="005C09C2" w:rsidRPr="00041C49" w:rsidRDefault="005C09C2" w:rsidP="009C6833">
      <w:pPr>
        <w:pStyle w:val="af1"/>
        <w:numPr>
          <w:ilvl w:val="0"/>
          <w:numId w:val="8"/>
        </w:numPr>
        <w:rPr>
          <w:rFonts w:ascii="Times New Roman" w:hAnsi="Times New Roman" w:cs="Times New Roman"/>
        </w:rPr>
      </w:pPr>
      <w:r w:rsidRPr="00041C49">
        <w:rPr>
          <w:rFonts w:ascii="Times New Roman" w:hAnsi="Times New Roman" w:cs="Times New Roman"/>
        </w:rPr>
        <w:t>Briefly explain what nanofiltration is.</w:t>
      </w:r>
    </w:p>
    <w:p w:rsidR="00222C44" w:rsidRPr="003C54C3" w:rsidRDefault="00222C44" w:rsidP="00217B4C">
      <w:pPr>
        <w:ind w:firstLine="900"/>
        <w:jc w:val="both"/>
        <w:rPr>
          <w:rFonts w:ascii="Times New Roman" w:hAnsi="Times New Roman" w:cs="Times New Roman"/>
          <w:sz w:val="28"/>
          <w:szCs w:val="28"/>
        </w:rPr>
        <w:sectPr w:rsidR="00222C44" w:rsidRPr="003C54C3" w:rsidSect="00217B4C">
          <w:headerReference w:type="even" r:id="rId390"/>
          <w:footerReference w:type="even" r:id="rId391"/>
          <w:footerReference w:type="default" r:id="rId392"/>
          <w:pgSz w:w="11906" w:h="16838"/>
          <w:pgMar w:top="1134" w:right="851" w:bottom="1134" w:left="1701" w:header="0" w:footer="3" w:gutter="0"/>
          <w:cols w:space="720"/>
          <w:noEndnote/>
          <w:titlePg/>
          <w:docGrid w:linePitch="360"/>
        </w:sectPr>
      </w:pPr>
    </w:p>
    <w:p w:rsidR="00217B4C" w:rsidRPr="003C54C3" w:rsidRDefault="008872CD" w:rsidP="00217B4C">
      <w:pPr>
        <w:ind w:firstLine="900"/>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lastRenderedPageBreak/>
        <w:drawing>
          <wp:inline distT="0" distB="0" distL="0" distR="0" wp14:anchorId="2C5350DF" wp14:editId="13523A7B">
            <wp:extent cx="4298950" cy="8570595"/>
            <wp:effectExtent l="0" t="0" r="6350" b="1905"/>
            <wp:docPr id="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298950" cy="8570595"/>
                    </a:xfrm>
                    <a:prstGeom prst="rect">
                      <a:avLst/>
                    </a:prstGeom>
                    <a:noFill/>
                    <a:ln>
                      <a:noFill/>
                    </a:ln>
                  </pic:spPr>
                </pic:pic>
              </a:graphicData>
            </a:graphic>
          </wp:inline>
        </w:drawing>
      </w:r>
    </w:p>
    <w:p w:rsidR="00403DFD" w:rsidRDefault="00403DFD" w:rsidP="00B34391">
      <w:pPr>
        <w:ind w:firstLine="720"/>
        <w:jc w:val="both"/>
        <w:rPr>
          <w:rFonts w:ascii="Times New Roman" w:hAnsi="Times New Roman" w:cs="Times New Roman"/>
          <w:lang w:val="kk-KZ"/>
        </w:rPr>
      </w:pPr>
    </w:p>
    <w:p w:rsidR="00217B4C" w:rsidRDefault="00217B4C" w:rsidP="00B34391">
      <w:pPr>
        <w:ind w:firstLine="720"/>
        <w:jc w:val="both"/>
        <w:rPr>
          <w:rFonts w:ascii="Times New Roman" w:hAnsi="Times New Roman" w:cs="Times New Roman"/>
          <w:lang w:val="kk-KZ"/>
        </w:rPr>
      </w:pPr>
    </w:p>
    <w:p w:rsidR="00217B4C" w:rsidRDefault="00217B4C" w:rsidP="00B34391">
      <w:pPr>
        <w:ind w:firstLine="720"/>
        <w:jc w:val="both"/>
        <w:rPr>
          <w:rFonts w:ascii="Times New Roman" w:hAnsi="Times New Roman" w:cs="Times New Roman"/>
          <w:lang w:val="kk-KZ"/>
        </w:rPr>
      </w:pPr>
    </w:p>
    <w:p w:rsidR="00403DFD" w:rsidRDefault="00403DFD" w:rsidP="00403DFD">
      <w:pPr>
        <w:ind w:firstLine="720"/>
        <w:jc w:val="both"/>
        <w:rPr>
          <w:rFonts w:ascii="Times New Roman" w:hAnsi="Times New Roman" w:cs="Times New Roman"/>
          <w:b/>
          <w:bCs/>
          <w:sz w:val="28"/>
          <w:szCs w:val="28"/>
        </w:rPr>
      </w:pPr>
      <w:bookmarkStart w:id="18" w:name="bookmark22"/>
      <w:r w:rsidRPr="00403DFD">
        <w:rPr>
          <w:rFonts w:ascii="Times New Roman" w:hAnsi="Times New Roman" w:cs="Times New Roman"/>
          <w:b/>
          <w:bCs/>
          <w:color w:val="auto"/>
          <w:sz w:val="28"/>
          <w:szCs w:val="28"/>
        </w:rPr>
        <w:lastRenderedPageBreak/>
        <w:t xml:space="preserve"> FLOTATION VARIETY OF METHODS AND STRUCTURES OF THE FLOTATION</w:t>
      </w:r>
      <w:r w:rsidRPr="00403DFD">
        <w:rPr>
          <w:rFonts w:ascii="Times New Roman" w:hAnsi="Times New Roman" w:cs="Times New Roman"/>
          <w:b/>
          <w:bCs/>
          <w:sz w:val="28"/>
          <w:szCs w:val="28"/>
        </w:rPr>
        <w:t xml:space="preserve"> COAGULATION/FLOCCULATION AGENTS</w:t>
      </w:r>
      <w:bookmarkEnd w:id="18"/>
    </w:p>
    <w:p w:rsidR="009101BA" w:rsidRDefault="009101BA" w:rsidP="00403DFD">
      <w:pPr>
        <w:ind w:firstLine="720"/>
        <w:jc w:val="both"/>
        <w:rPr>
          <w:rFonts w:ascii="Times New Roman" w:hAnsi="Times New Roman" w:cs="Times New Roman"/>
          <w:b/>
          <w:bCs/>
          <w:sz w:val="28"/>
          <w:szCs w:val="28"/>
        </w:rPr>
      </w:pPr>
    </w:p>
    <w:p w:rsidR="006834D3" w:rsidRPr="00A1302B" w:rsidRDefault="006834D3" w:rsidP="009C6833">
      <w:pPr>
        <w:numPr>
          <w:ilvl w:val="0"/>
          <w:numId w:val="25"/>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Some of the advantages of coagulation </w:t>
      </w:r>
    </w:p>
    <w:p w:rsidR="006834D3" w:rsidRPr="00A1302B" w:rsidRDefault="006834D3" w:rsidP="009C6833">
      <w:pPr>
        <w:numPr>
          <w:ilvl w:val="0"/>
          <w:numId w:val="25"/>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Air flotation </w:t>
      </w:r>
    </w:p>
    <w:p w:rsidR="006834D3" w:rsidRPr="00A1302B" w:rsidRDefault="006834D3" w:rsidP="009C6833">
      <w:pPr>
        <w:numPr>
          <w:ilvl w:val="0"/>
          <w:numId w:val="25"/>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The flotation process </w:t>
      </w:r>
    </w:p>
    <w:p w:rsidR="00403DFD" w:rsidRPr="00B34391" w:rsidRDefault="00403DFD" w:rsidP="00403DFD">
      <w:pPr>
        <w:ind w:firstLine="720"/>
        <w:jc w:val="both"/>
        <w:rPr>
          <w:rFonts w:ascii="Times New Roman" w:hAnsi="Times New Roman" w:cs="Times New Roman"/>
          <w:sz w:val="28"/>
          <w:szCs w:val="28"/>
        </w:rPr>
      </w:pPr>
      <w:r w:rsidRPr="00B34391">
        <w:rPr>
          <w:rFonts w:ascii="Times New Roman" w:hAnsi="Times New Roman" w:cs="Times New Roman"/>
          <w:sz w:val="28"/>
          <w:szCs w:val="28"/>
        </w:rPr>
        <w:t>While flocculation doesn’t kill pathogens, it will reduce their levels along with removing particles that could shield the pathogens from chemical or thermal destruction, and organic matter that could tie up chlorine added for purification. 60</w:t>
      </w:r>
      <w:r w:rsidRPr="00B34391">
        <w:rPr>
          <w:rFonts w:ascii="Times New Roman" w:hAnsi="Times New Roman" w:cs="Times New Roman"/>
          <w:sz w:val="28"/>
          <w:szCs w:val="28"/>
        </w:rPr>
        <w:softHyphen/>
        <w:t>98% of coliform bacteria, 65-99% of viruses, and 60-90% of giardia will be removed from the water, along with organic matter and heavy metals.</w:t>
      </w:r>
    </w:p>
    <w:p w:rsidR="00403DFD" w:rsidRPr="00B34391" w:rsidRDefault="00403DFD" w:rsidP="00403DFD">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Some of the advantages of coagulation</w:t>
      </w:r>
      <w:r w:rsidRPr="00B34391">
        <w:rPr>
          <w:rFonts w:ascii="Times New Roman" w:hAnsi="Times New Roman" w:cs="Times New Roman"/>
          <w:sz w:val="28"/>
          <w:szCs w:val="28"/>
        </w:rPr>
        <w:t xml:space="preserve">/flocculation can be obtained by allowing the particles to settle out of the water with time (sedimentation), but it will take a while for them to do so. Adding coagulation chemicals, such as alum, will increase the rate at which the suspended particles settle out by combining many smaller particles into larger floe, which will settle out faster. The usual dose for alum is 10-30 mg/liter of water. This dose must be rapidly mixed with the water, </w:t>
      </w:r>
      <w:proofErr w:type="gramStart"/>
      <w:r w:rsidRPr="00B34391">
        <w:rPr>
          <w:rFonts w:ascii="Times New Roman" w:hAnsi="Times New Roman" w:cs="Times New Roman"/>
          <w:sz w:val="28"/>
          <w:szCs w:val="28"/>
        </w:rPr>
        <w:t>then</w:t>
      </w:r>
      <w:proofErr w:type="gramEnd"/>
      <w:r w:rsidRPr="00B34391">
        <w:rPr>
          <w:rFonts w:ascii="Times New Roman" w:hAnsi="Times New Roman" w:cs="Times New Roman"/>
          <w:sz w:val="28"/>
          <w:szCs w:val="28"/>
        </w:rPr>
        <w:t xml:space="preserve"> the water must be agitated for 5 minutes to encourage the particles to form floes. After this at least 30 minutes of settling time is need for the floes to fall to the bottom, and them the clear water above the floes may be poured off.</w:t>
      </w:r>
    </w:p>
    <w:p w:rsidR="00403DFD" w:rsidRDefault="00403DFD" w:rsidP="00403DFD">
      <w:pPr>
        <w:ind w:firstLine="720"/>
        <w:jc w:val="both"/>
        <w:rPr>
          <w:rFonts w:ascii="Times New Roman" w:hAnsi="Times New Roman" w:cs="Times New Roman"/>
          <w:sz w:val="28"/>
          <w:szCs w:val="28"/>
          <w:lang w:val="kk-KZ"/>
        </w:rPr>
      </w:pPr>
      <w:r w:rsidRPr="00B34391">
        <w:rPr>
          <w:rFonts w:ascii="Times New Roman" w:hAnsi="Times New Roman" w:cs="Times New Roman"/>
          <w:sz w:val="28"/>
          <w:szCs w:val="28"/>
        </w:rPr>
        <w:t xml:space="preserve">Most of the flocculation agent is removed with the </w:t>
      </w:r>
      <w:proofErr w:type="gramStart"/>
      <w:r w:rsidRPr="00B34391">
        <w:rPr>
          <w:rFonts w:ascii="Times New Roman" w:hAnsi="Times New Roman" w:cs="Times New Roman"/>
          <w:sz w:val="28"/>
          <w:szCs w:val="28"/>
        </w:rPr>
        <w:t>floe,</w:t>
      </w:r>
      <w:proofErr w:type="gramEnd"/>
      <w:r w:rsidRPr="00B34391">
        <w:rPr>
          <w:rFonts w:ascii="Times New Roman" w:hAnsi="Times New Roman" w:cs="Times New Roman"/>
          <w:sz w:val="28"/>
          <w:szCs w:val="28"/>
        </w:rPr>
        <w:t xml:space="preserve"> nevertheless, some question the safety of using alum due to the toxicity of the aluminum in it. There is little to no scientific evidence to back this up. Virtually all municipal plants in the </w:t>
      </w:r>
      <w:smartTag w:uri="urn:schemas-microsoft-com:office:smarttags" w:element="place">
        <w:smartTag w:uri="urn:schemas-microsoft-com:office:smarttags" w:element="country-region">
          <w:r w:rsidRPr="00B34391">
            <w:rPr>
              <w:rFonts w:ascii="Times New Roman" w:hAnsi="Times New Roman" w:cs="Times New Roman"/>
              <w:sz w:val="28"/>
              <w:szCs w:val="28"/>
            </w:rPr>
            <w:t>US</w:t>
          </w:r>
        </w:smartTag>
      </w:smartTag>
      <w:r w:rsidRPr="00B34391">
        <w:rPr>
          <w:rFonts w:ascii="Times New Roman" w:hAnsi="Times New Roman" w:cs="Times New Roman"/>
          <w:sz w:val="28"/>
          <w:szCs w:val="28"/>
        </w:rPr>
        <w:t xml:space="preserve"> dose the water with alum. In bulk water treatment, the alum dose can be varied until the idea dose is found. The needed dose varies with the pH of the water and the size of the particles. Increase turbidity makes the floes easier to produce not harder, due to the increased number of collisions between particles.</w:t>
      </w:r>
    </w:p>
    <w:p w:rsidR="005E2B57" w:rsidRPr="001B70BE" w:rsidRDefault="005E2B57" w:rsidP="005E2B57">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Air flotation</w:t>
      </w:r>
      <w:r w:rsidRPr="001B70BE">
        <w:rPr>
          <w:rFonts w:ascii="Times New Roman" w:hAnsi="Times New Roman" w:cs="Times New Roman"/>
          <w:sz w:val="28"/>
          <w:szCs w:val="28"/>
        </w:rPr>
        <w:t xml:space="preserve"> is one of the oldest methods for the removal of solids, oil &amp; grease and fibrous materials from wastewater. </w:t>
      </w:r>
      <w:proofErr w:type="gramStart"/>
      <w:r w:rsidRPr="001B70BE">
        <w:rPr>
          <w:rFonts w:ascii="Times New Roman" w:hAnsi="Times New Roman" w:cs="Times New Roman"/>
          <w:sz w:val="28"/>
          <w:szCs w:val="28"/>
        </w:rPr>
        <w:t>Suspended solids and oil &amp; grease removals as high as 99%+ can be attained with these processes.</w:t>
      </w:r>
      <w:proofErr w:type="gramEnd"/>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Air flotation is simply the production of microscopic air bubbles, which enhance the natural tendency of some materials to float by carrying wastewater contaminants to the surface of the tank for removal by mechanical skimming. Many commercially available units are packaged rectangular steel tank flotation systems; shipped completely assembled and ready for simple piping and wiring on site.</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 xml:space="preserve">Models typically range from 10 to over 1000 square feet of effective flotation area for raw wastewater flows to over 1000 gallons per minute. Complete systems often include chemical treatment processes. A dissolved air flotation (DAF) system can produce clean water in wash operations where reduction of oil and grease down to 2 mg/1 is achievable in certain applications. In addition to municipal and heavy industry applications, DAF has found a home with commercial vehicle washing, industrial laundries, food processing. Vehicle wash applications need not be confined to automobiles and trucks, but can extend to buses, tank cars and many other types of vehicles. There is a broad and varied </w:t>
      </w:r>
      <w:r w:rsidRPr="001B70BE">
        <w:rPr>
          <w:rFonts w:ascii="Times New Roman" w:hAnsi="Times New Roman" w:cs="Times New Roman"/>
          <w:sz w:val="28"/>
          <w:szCs w:val="28"/>
        </w:rPr>
        <w:lastRenderedPageBreak/>
        <w:t xml:space="preserve">market for DAF. Excessive oil and grease (especially emulsified oils), plus high levels of suspended solids and metals are good candidates for our DAF systems. Another example is an industrial laundry, where there is the need for good waste treatment systems. A DAF system can be used in a variety of food processing applications, including Vegetable Oils, Animal and Seafood Fats, Red Meat Butchering, Poultry processing, and Kitchen and Equipment Washing. Oil </w:t>
      </w:r>
      <w:proofErr w:type="gramStart"/>
      <w:r w:rsidRPr="001B70BE">
        <w:rPr>
          <w:rFonts w:ascii="Times New Roman" w:hAnsi="Times New Roman" w:cs="Times New Roman"/>
          <w:sz w:val="28"/>
          <w:szCs w:val="28"/>
        </w:rPr>
        <w:t>Drilling</w:t>
      </w:r>
      <w:proofErr w:type="gramEnd"/>
      <w:r w:rsidRPr="001B70BE">
        <w:rPr>
          <w:rFonts w:ascii="Times New Roman" w:hAnsi="Times New Roman" w:cs="Times New Roman"/>
          <w:sz w:val="28"/>
          <w:szCs w:val="28"/>
        </w:rPr>
        <w:t xml:space="preserve"> on and offshore is under pressure from the USEPA. The removal of the oils from the dirty water which surfaces when drilling wells cannot be dumped. DAF technology has proven very effective in this industry. Some waste stream problems found in shipyards and aboard ships are oily bilge water and solids containing copper and other heavy metals used in marine paints. DAF is a proven method in these applications as well. In metal fmishing operations DAF will remove cadmium, chromium, lead, zinc and other toxic heavy metals from a waste stream. Finally, when combined with other treatment processes DAF can be applied upstream of large water treatment systems to handle contaminated water before it mingles with the rest of the waste stream.</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When the primary target is oil removal, we should distinguish between the forms of oil. There are two forms of oil that we find in wastewater. Free oil is oil that will separate naturally and float to the surface. Emulsified oil is oil that is held in suspension by a chemical substance (Detergents - Surfactants) or electrical energy. When making an evaluation, free oil will normally separate by gravity and float to the surface in approximately 30 minutes. Emulsified oil is held in a molecular</w:t>
      </w:r>
      <w:r>
        <w:rPr>
          <w:rFonts w:ascii="Times New Roman" w:hAnsi="Times New Roman" w:cs="Times New Roman"/>
          <w:sz w:val="28"/>
          <w:szCs w:val="28"/>
          <w:lang w:val="kk-KZ"/>
        </w:rPr>
        <w:t xml:space="preserve"> </w:t>
      </w:r>
      <w:r w:rsidRPr="001B70BE">
        <w:rPr>
          <w:rFonts w:ascii="Times New Roman" w:hAnsi="Times New Roman" w:cs="Times New Roman"/>
          <w:sz w:val="28"/>
          <w:szCs w:val="28"/>
        </w:rPr>
        <w:t>structure called a micelle and will not separate on its own. Hence, there is the need for a more sophisticated method of treating suspensions containing emulsified oils.</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A good way to see how DAF technology works is to fill a glass full of water from the tap and observing the tiny, almost microscopic bubbles in the water. Dissolved-air flotation uses the same principle in order to introduce tiny bubbles into water. These bubbles form because the water inside the pipes, which is at high pressure, had somehow dissolved enough air that the water becomes supersaturated with air when the pressure drops before the water falls into your glass. As a result, the excess air precipitates out in the form of tiny bubbles. These bubbles are much smaller than we produce by other means of dispersing air in water.</w:t>
      </w:r>
    </w:p>
    <w:p w:rsidR="005E2B57" w:rsidRPr="001B70BE" w:rsidRDefault="005E2B57" w:rsidP="005E2B57">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The flotation process</w:t>
      </w:r>
      <w:r w:rsidRPr="001B70BE">
        <w:rPr>
          <w:rFonts w:ascii="Times New Roman" w:hAnsi="Times New Roman" w:cs="Times New Roman"/>
          <w:sz w:val="28"/>
          <w:szCs w:val="28"/>
        </w:rPr>
        <w:t xml:space="preserve"> was developed in the mining and coal processing industries as a way of separating suspended solids from a medium such as water. As noted above, the flotation process has found uses in other fields, such as wastewater treatment. The process introduces fine air bubbles into the mixture, so that the air bubbles attach to the particles, and lift them to the surface.</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 xml:space="preserve">Dissolved-air flotation uses a particular way of introducing the air bubbles into the flotation tank. A dissolved-air flotation machine dissolves air into the water to be treated by passing the water through a pressurizing pump, introducing air, and holding the air-water mixture at high pressure long enough for the water to become saturated with air at the high pressure. Typical pressures are 20-75 psig. After saturating the water with air at high pressure, the water passes through a pressure- relief nozzle, after which air precipitates as tiny bubbles. This process for </w:t>
      </w:r>
      <w:r w:rsidRPr="001B70BE">
        <w:rPr>
          <w:rFonts w:ascii="Times New Roman" w:hAnsi="Times New Roman" w:cs="Times New Roman"/>
          <w:sz w:val="28"/>
          <w:szCs w:val="28"/>
        </w:rPr>
        <w:lastRenderedPageBreak/>
        <w:t>creating air bubbles has two advantages over other processes. Dissolved-air flotation typically produces bubbles in the 40-70 micron range, whereas in normal foam fractionation, a bubble of 500 microns is considered small. The smaller bubbles have much more surface area for their volume than do the larger bubbles. A particular volume of air has 10 times the surface area when distributed as 50 micron bubbles as it does when distributed as 500 micron bubbles. Looking at this fact another way, you need 10 times the air flow with 500 micron bubbles as you need with 50 micron bubbles in order to achieve the same air-water interfacial area.</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t>The second, and probably more important, advantage of producing bubbles byprecipitation is that the process provides a more positive attachment between air bubbles and the particles or globules that you want to remove. Particles and globules in the water act as nucleation sites for the precipitation process; the precipitating air seeks out these sites to begin bubble formation. This is better than relying on chance encounters between waste particles and large bubbles introduced by some other means.</w:t>
      </w:r>
    </w:p>
    <w:p w:rsidR="005C09C2" w:rsidRPr="00041C49" w:rsidRDefault="005C09C2" w:rsidP="005C09C2">
      <w:pPr>
        <w:pStyle w:val="af1"/>
        <w:rPr>
          <w:rFonts w:ascii="Times New Roman" w:hAnsi="Times New Roman" w:cs="Times New Roman"/>
        </w:rPr>
      </w:pPr>
      <w:r w:rsidRPr="00041C49">
        <w:rPr>
          <w:rFonts w:ascii="Times New Roman" w:hAnsi="Times New Roman" w:cs="Times New Roman"/>
        </w:rPr>
        <w:t>QUESTIONS FOR THINKING AND DISCUSSING</w:t>
      </w:r>
    </w:p>
    <w:p w:rsidR="005C09C2" w:rsidRPr="00041C49" w:rsidRDefault="005C09C2" w:rsidP="009C6833">
      <w:pPr>
        <w:pStyle w:val="af1"/>
        <w:numPr>
          <w:ilvl w:val="0"/>
          <w:numId w:val="38"/>
        </w:numPr>
        <w:rPr>
          <w:rFonts w:ascii="Times New Roman" w:hAnsi="Times New Roman" w:cs="Times New Roman"/>
        </w:rPr>
      </w:pPr>
      <w:r w:rsidRPr="00041C49">
        <w:rPr>
          <w:rFonts w:ascii="Times New Roman" w:hAnsi="Times New Roman" w:cs="Times New Roman"/>
        </w:rPr>
        <w:t xml:space="preserve">What </w:t>
      </w:r>
      <w:proofErr w:type="gramStart"/>
      <w:r w:rsidRPr="00041C49">
        <w:rPr>
          <w:rFonts w:ascii="Times New Roman" w:hAnsi="Times New Roman" w:cs="Times New Roman"/>
        </w:rPr>
        <w:t>is</w:t>
      </w:r>
      <w:proofErr w:type="gramEnd"/>
      <w:r w:rsidRPr="00041C49">
        <w:rPr>
          <w:rFonts w:ascii="Times New Roman" w:hAnsi="Times New Roman" w:cs="Times New Roman"/>
        </w:rPr>
        <w:t xml:space="preserve"> Reverse Osmosis and the general principle of operation?</w:t>
      </w:r>
    </w:p>
    <w:p w:rsidR="005C09C2" w:rsidRPr="00041C49" w:rsidRDefault="005C09C2" w:rsidP="009C6833">
      <w:pPr>
        <w:pStyle w:val="af1"/>
        <w:numPr>
          <w:ilvl w:val="0"/>
          <w:numId w:val="38"/>
        </w:numPr>
        <w:rPr>
          <w:rFonts w:ascii="Times New Roman" w:hAnsi="Times New Roman" w:cs="Times New Roman"/>
        </w:rPr>
      </w:pPr>
      <w:r w:rsidRPr="00041C49">
        <w:rPr>
          <w:rFonts w:ascii="Times New Roman" w:hAnsi="Times New Roman" w:cs="Times New Roman"/>
        </w:rPr>
        <w:t>What is the role of NSDW Regulations? Are these enforceable?</w:t>
      </w:r>
    </w:p>
    <w:p w:rsidR="005C09C2" w:rsidRPr="00041C49" w:rsidRDefault="005C09C2" w:rsidP="009C6833">
      <w:pPr>
        <w:pStyle w:val="af1"/>
        <w:numPr>
          <w:ilvl w:val="0"/>
          <w:numId w:val="38"/>
        </w:numPr>
        <w:rPr>
          <w:rFonts w:ascii="Times New Roman" w:hAnsi="Times New Roman" w:cs="Times New Roman"/>
        </w:rPr>
      </w:pPr>
      <w:r w:rsidRPr="00041C49">
        <w:rPr>
          <w:rFonts w:ascii="Times New Roman" w:hAnsi="Times New Roman" w:cs="Times New Roman"/>
        </w:rPr>
        <w:t>What reasons would a water treatment operation employ microfilters?</w:t>
      </w:r>
    </w:p>
    <w:p w:rsidR="00217B4C" w:rsidRDefault="00217B4C" w:rsidP="005E2B57">
      <w:pPr>
        <w:ind w:firstLine="720"/>
        <w:jc w:val="both"/>
        <w:rPr>
          <w:rFonts w:ascii="Times New Roman" w:hAnsi="Times New Roman" w:cs="Times New Roman"/>
          <w:b/>
          <w:bCs/>
          <w:color w:val="auto"/>
          <w:sz w:val="28"/>
          <w:szCs w:val="28"/>
        </w:rPr>
      </w:pPr>
    </w:p>
    <w:p w:rsidR="00217B4C" w:rsidRDefault="00217B4C" w:rsidP="005E2B57">
      <w:pPr>
        <w:ind w:firstLine="720"/>
        <w:jc w:val="both"/>
        <w:rPr>
          <w:rFonts w:ascii="Times New Roman" w:hAnsi="Times New Roman" w:cs="Times New Roman"/>
          <w:b/>
          <w:bCs/>
          <w:color w:val="auto"/>
          <w:sz w:val="28"/>
          <w:szCs w:val="28"/>
        </w:rPr>
      </w:pPr>
      <w:r w:rsidRPr="00217B4C">
        <w:rPr>
          <w:rFonts w:ascii="Times New Roman" w:hAnsi="Times New Roman" w:cs="Times New Roman"/>
          <w:b/>
          <w:bCs/>
          <w:color w:val="auto"/>
          <w:sz w:val="28"/>
          <w:szCs w:val="28"/>
        </w:rPr>
        <w:t xml:space="preserve"> REVERSE OSMOSIS AND ULTRAFILTRATION. </w:t>
      </w:r>
      <w:proofErr w:type="gramStart"/>
      <w:r w:rsidRPr="00217B4C">
        <w:rPr>
          <w:rFonts w:ascii="Times New Roman" w:hAnsi="Times New Roman" w:cs="Times New Roman"/>
          <w:b/>
          <w:bCs/>
          <w:color w:val="auto"/>
          <w:sz w:val="28"/>
          <w:szCs w:val="28"/>
        </w:rPr>
        <w:t xml:space="preserve">AREA OF </w:t>
      </w:r>
      <w:r w:rsidRPr="00217B4C">
        <w:rPr>
          <w:rFonts w:ascii="Times New Roman" w:eastAsia="MS Mincho" w:hAnsi="Times New Roman" w:cs="Times New Roman"/>
          <w:b/>
          <w:bCs/>
          <w:color w:val="auto"/>
          <w:sz w:val="28"/>
          <w:szCs w:val="28"/>
        </w:rPr>
        <w:t>​​</w:t>
      </w:r>
      <w:r w:rsidRPr="00217B4C">
        <w:rPr>
          <w:rFonts w:ascii="Times New Roman" w:hAnsi="Times New Roman" w:cs="Times New Roman"/>
          <w:b/>
          <w:bCs/>
          <w:color w:val="auto"/>
          <w:sz w:val="28"/>
          <w:szCs w:val="28"/>
        </w:rPr>
        <w:t>USE AND OPERATION.</w:t>
      </w:r>
      <w:proofErr w:type="gramEnd"/>
      <w:r w:rsidRPr="00217B4C">
        <w:rPr>
          <w:rFonts w:ascii="Times New Roman" w:hAnsi="Times New Roman" w:cs="Times New Roman"/>
          <w:b/>
          <w:bCs/>
          <w:color w:val="auto"/>
          <w:sz w:val="28"/>
          <w:szCs w:val="28"/>
        </w:rPr>
        <w:t xml:space="preserve"> </w:t>
      </w:r>
      <w:r w:rsidR="009101BA">
        <w:rPr>
          <w:rFonts w:ascii="Times New Roman" w:hAnsi="Times New Roman" w:cs="Times New Roman"/>
          <w:b/>
          <w:bCs/>
          <w:color w:val="auto"/>
          <w:sz w:val="28"/>
          <w:szCs w:val="28"/>
        </w:rPr>
        <w:t>.</w:t>
      </w:r>
    </w:p>
    <w:p w:rsidR="009101BA" w:rsidRDefault="009101BA" w:rsidP="005E2B57">
      <w:pPr>
        <w:ind w:firstLine="720"/>
        <w:jc w:val="both"/>
        <w:rPr>
          <w:rFonts w:ascii="Times New Roman" w:hAnsi="Times New Roman" w:cs="Times New Roman"/>
          <w:b/>
          <w:bCs/>
          <w:color w:val="auto"/>
          <w:sz w:val="28"/>
          <w:szCs w:val="28"/>
        </w:rPr>
      </w:pPr>
    </w:p>
    <w:p w:rsidR="006834D3" w:rsidRPr="00A1302B" w:rsidRDefault="006834D3" w:rsidP="009C6833">
      <w:pPr>
        <w:numPr>
          <w:ilvl w:val="0"/>
          <w:numId w:val="26"/>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A typical DAF </w:t>
      </w:r>
    </w:p>
    <w:p w:rsidR="006834D3" w:rsidRPr="00A1302B" w:rsidRDefault="006834D3" w:rsidP="009C6833">
      <w:pPr>
        <w:numPr>
          <w:ilvl w:val="0"/>
          <w:numId w:val="26"/>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The DAF process </w:t>
      </w:r>
    </w:p>
    <w:p w:rsidR="006834D3" w:rsidRPr="00A1302B" w:rsidRDefault="006834D3" w:rsidP="009C6833">
      <w:pPr>
        <w:numPr>
          <w:ilvl w:val="0"/>
          <w:numId w:val="26"/>
        </w:numPr>
        <w:jc w:val="both"/>
        <w:rPr>
          <w:rFonts w:ascii="Times New Roman" w:hAnsi="Times New Roman" w:cs="Times New Roman"/>
          <w:i/>
          <w:iCs/>
          <w:sz w:val="28"/>
          <w:szCs w:val="28"/>
          <w:lang w:val="kk-KZ"/>
        </w:rPr>
      </w:pPr>
      <w:r w:rsidRPr="00A1302B">
        <w:rPr>
          <w:rFonts w:ascii="Times New Roman" w:hAnsi="Times New Roman" w:cs="Times New Roman"/>
          <w:i/>
          <w:iCs/>
          <w:sz w:val="28"/>
          <w:szCs w:val="28"/>
        </w:rPr>
        <w:t xml:space="preserve">The conventional DAF </w:t>
      </w:r>
    </w:p>
    <w:p w:rsidR="005E2B57" w:rsidRPr="001B70BE" w:rsidRDefault="005E2B57" w:rsidP="005E2B57">
      <w:pPr>
        <w:ind w:firstLine="720"/>
        <w:jc w:val="both"/>
        <w:rPr>
          <w:rFonts w:ascii="Times New Roman" w:hAnsi="Times New Roman" w:cs="Times New Roman"/>
          <w:sz w:val="28"/>
          <w:szCs w:val="28"/>
        </w:rPr>
      </w:pPr>
      <w:r w:rsidRPr="00A1302B">
        <w:rPr>
          <w:rFonts w:ascii="Times New Roman" w:hAnsi="Times New Roman" w:cs="Times New Roman"/>
          <w:i/>
          <w:iCs/>
          <w:sz w:val="28"/>
          <w:szCs w:val="28"/>
        </w:rPr>
        <w:t>A typical DAF</w:t>
      </w:r>
      <w:r w:rsidRPr="001B70BE">
        <w:rPr>
          <w:rFonts w:ascii="Times New Roman" w:hAnsi="Times New Roman" w:cs="Times New Roman"/>
          <w:sz w:val="28"/>
          <w:szCs w:val="28"/>
        </w:rPr>
        <w:t xml:space="preserve"> process is not simply a physical separation technique. One must consider the entire treatment process, which is based on chemical coagulation, clarification and rapid sand filtration. This process train is widely accepted and is very applicable to the treatment of colored and turbid surface waters for municipal and industrial applications. Normally the clarification stage employs DAF. The suspended solid matter in the chemically treated water is separated by introducing a recycle stream containing small bubbles which floats this material to the surface of the tank. This is achieved by recycling a portion of the clarified flow back to the DAF unit. The recycle flow is pumped to higher pressure and is then mixed with compressed air. The flow passes through a tank where the air dissolves to saturation at the higher pressure. When the pressure is released at the clarifier, the dissolved air precipitates as a cloud of micro bubbles which attach to the particulate matter causing it to rise to the surface.</w:t>
      </w:r>
    </w:p>
    <w:p w:rsidR="005E2B57" w:rsidRPr="001B70BE" w:rsidRDefault="005E2B57" w:rsidP="005E2B57">
      <w:pPr>
        <w:ind w:firstLine="720"/>
        <w:jc w:val="both"/>
        <w:rPr>
          <w:rFonts w:ascii="Times New Roman" w:hAnsi="Times New Roman" w:cs="Times New Roman"/>
          <w:sz w:val="28"/>
          <w:szCs w:val="28"/>
        </w:rPr>
      </w:pPr>
      <w:r w:rsidRPr="008A75AF">
        <w:rPr>
          <w:rFonts w:ascii="Times New Roman" w:hAnsi="Times New Roman" w:cs="Times New Roman"/>
          <w:i/>
          <w:iCs/>
          <w:sz w:val="28"/>
          <w:szCs w:val="28"/>
        </w:rPr>
        <w:t>The DAF process</w:t>
      </w:r>
      <w:r w:rsidRPr="001B70BE">
        <w:rPr>
          <w:rFonts w:ascii="Times New Roman" w:hAnsi="Times New Roman" w:cs="Times New Roman"/>
          <w:sz w:val="28"/>
          <w:szCs w:val="28"/>
        </w:rPr>
        <w:t xml:space="preserve"> is particularly well suited for the removal of floe formed in the treatment of low alkalinity, low turbidity, </w:t>
      </w:r>
      <w:proofErr w:type="gramStart"/>
      <w:r w:rsidRPr="001B70BE">
        <w:rPr>
          <w:rFonts w:ascii="Times New Roman" w:hAnsi="Times New Roman" w:cs="Times New Roman"/>
          <w:sz w:val="28"/>
          <w:szCs w:val="28"/>
        </w:rPr>
        <w:t>colored</w:t>
      </w:r>
      <w:proofErr w:type="gramEnd"/>
      <w:r w:rsidRPr="001B70BE">
        <w:rPr>
          <w:rFonts w:ascii="Times New Roman" w:hAnsi="Times New Roman" w:cs="Times New Roman"/>
          <w:sz w:val="28"/>
          <w:szCs w:val="28"/>
        </w:rPr>
        <w:t xml:space="preserve"> water. This type of floe tends to be very fragile and voluminous, making traditional gravity sedimentation inefficient. Flotation processes do not require large, heavy floe in order to achieve efficient solids removal. </w:t>
      </w:r>
      <w:proofErr w:type="gramStart"/>
      <w:r w:rsidRPr="001B70BE">
        <w:rPr>
          <w:rFonts w:ascii="Times New Roman" w:hAnsi="Times New Roman" w:cs="Times New Roman"/>
          <w:sz w:val="28"/>
          <w:szCs w:val="28"/>
        </w:rPr>
        <w:t>This results</w:t>
      </w:r>
      <w:proofErr w:type="gramEnd"/>
      <w:r w:rsidRPr="001B70BE">
        <w:rPr>
          <w:rFonts w:ascii="Times New Roman" w:hAnsi="Times New Roman" w:cs="Times New Roman"/>
          <w:sz w:val="28"/>
          <w:szCs w:val="28"/>
        </w:rPr>
        <w:t xml:space="preserve"> in lower chemical dosages and reduced time </w:t>
      </w:r>
      <w:r w:rsidRPr="001B70BE">
        <w:rPr>
          <w:rFonts w:ascii="Times New Roman" w:hAnsi="Times New Roman" w:cs="Times New Roman"/>
          <w:sz w:val="28"/>
          <w:szCs w:val="28"/>
        </w:rPr>
        <w:lastRenderedPageBreak/>
        <w:t>required for flocculation. The compressive forces applied to the sludge by the buoyant bubble/floc agglomerates result in greatly reduced volumes of waste-water from the clarification process. This enhances the efficiency of chemical use and reduces the volume of residuals to be treated. An equally important benefit of the technology is the efficiency of the clarification process. Since the performance of the filtration process is directly affected by the amount of solids in the clarified water, the high degree of solids removal achieved in the DAF results in an overall increase in system performance. In order to meet stringent standards for turbidity removal in potable water applications, this high performance is essential.</w:t>
      </w:r>
    </w:p>
    <w:p w:rsidR="005E2B57" w:rsidRPr="001B70BE" w:rsidRDefault="005E2B57" w:rsidP="008A75AF">
      <w:pPr>
        <w:ind w:firstLine="720"/>
        <w:jc w:val="both"/>
        <w:rPr>
          <w:rFonts w:ascii="Times New Roman" w:hAnsi="Times New Roman" w:cs="Times New Roman"/>
          <w:sz w:val="28"/>
          <w:szCs w:val="28"/>
        </w:rPr>
      </w:pPr>
      <w:r w:rsidRPr="001B70BE">
        <w:rPr>
          <w:rFonts w:ascii="Times New Roman" w:hAnsi="Times New Roman" w:cs="Times New Roman"/>
          <w:sz w:val="28"/>
          <w:szCs w:val="28"/>
        </w:rPr>
        <w:t xml:space="preserve">In recapping, DAF is the process of removing suspended solids, oils and other contaminants via the use of bubble flotation. Air is dissolved into the water, then mixed with the wastestream and released from solution while in intimate contact with the contaminants. Air bubbles form, saturated with air, mix with the wastewater influent and are injected into the DAF separation chamber. The dissolved air then comes out of solution, producing literally millions of microscopic bubbles. These bubbles attach themselves to the particulate matter and float then to the surface where they are mechanically skimmed and removed from the tank. Most systems are versatile enough to remove not only finely divided suspended solids, but fats, oils and grease (FOG). Typical wastes handled include various suspended solids, food/animal production/processing wastes, industrial wastes, hydrocarbon oils/emulsions, and many others. </w:t>
      </w:r>
    </w:p>
    <w:p w:rsidR="005E2B57" w:rsidRPr="001B70BE" w:rsidRDefault="008872CD" w:rsidP="005E2B57">
      <w:pPr>
        <w:ind w:firstLine="720"/>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drawing>
          <wp:inline distT="0" distB="0" distL="0" distR="0" wp14:anchorId="549A2E64" wp14:editId="39F28486">
            <wp:extent cx="3602990" cy="1651635"/>
            <wp:effectExtent l="0" t="0" r="0" b="5715"/>
            <wp:docPr id="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3602990" cy="1651635"/>
                    </a:xfrm>
                    <a:prstGeom prst="rect">
                      <a:avLst/>
                    </a:prstGeom>
                    <a:noFill/>
                    <a:ln>
                      <a:noFill/>
                    </a:ln>
                  </pic:spPr>
                </pic:pic>
              </a:graphicData>
            </a:graphic>
          </wp:inline>
        </w:drawing>
      </w:r>
    </w:p>
    <w:p w:rsidR="00222C44" w:rsidRDefault="00222C44" w:rsidP="005E2B57">
      <w:pPr>
        <w:ind w:firstLine="720"/>
        <w:jc w:val="both"/>
        <w:rPr>
          <w:rFonts w:ascii="Times New Roman" w:hAnsi="Times New Roman" w:cs="Times New Roman"/>
          <w:sz w:val="28"/>
          <w:szCs w:val="28"/>
        </w:rPr>
      </w:pPr>
    </w:p>
    <w:p w:rsidR="005E2B57" w:rsidRPr="001B70BE" w:rsidRDefault="005E2B57" w:rsidP="008A75AF">
      <w:pPr>
        <w:ind w:firstLine="720"/>
        <w:jc w:val="both"/>
        <w:rPr>
          <w:rFonts w:ascii="Times New Roman" w:hAnsi="Times New Roman" w:cs="Times New Roman"/>
          <w:sz w:val="28"/>
          <w:szCs w:val="28"/>
        </w:rPr>
      </w:pPr>
      <w:proofErr w:type="gramStart"/>
      <w:r w:rsidRPr="001B70BE">
        <w:rPr>
          <w:rFonts w:ascii="Times New Roman" w:hAnsi="Times New Roman" w:cs="Times New Roman"/>
          <w:sz w:val="28"/>
          <w:szCs w:val="28"/>
        </w:rPr>
        <w:t>Figure 2.</w:t>
      </w:r>
      <w:proofErr w:type="gramEnd"/>
      <w:r w:rsidRPr="001B70BE">
        <w:rPr>
          <w:rFonts w:ascii="Times New Roman" w:hAnsi="Times New Roman" w:cs="Times New Roman"/>
          <w:sz w:val="28"/>
          <w:szCs w:val="28"/>
        </w:rPr>
        <w:t xml:space="preserve"> </w:t>
      </w:r>
      <w:proofErr w:type="gramStart"/>
      <w:r w:rsidRPr="001B70BE">
        <w:rPr>
          <w:rFonts w:ascii="Times New Roman" w:hAnsi="Times New Roman" w:cs="Times New Roman"/>
          <w:sz w:val="28"/>
          <w:szCs w:val="28"/>
        </w:rPr>
        <w:t>Conventional DAF process scheme.</w:t>
      </w:r>
      <w:proofErr w:type="gramEnd"/>
    </w:p>
    <w:p w:rsidR="005E2B57" w:rsidRPr="001B70BE" w:rsidRDefault="005E2B57" w:rsidP="005E2B57">
      <w:pPr>
        <w:ind w:firstLine="720"/>
        <w:jc w:val="both"/>
        <w:rPr>
          <w:rFonts w:ascii="Times New Roman" w:hAnsi="Times New Roman" w:cs="Times New Roman"/>
          <w:sz w:val="28"/>
          <w:szCs w:val="28"/>
        </w:rPr>
      </w:pPr>
    </w:p>
    <w:p w:rsidR="008A75AF" w:rsidRDefault="008A75AF" w:rsidP="008A75AF">
      <w:pPr>
        <w:ind w:firstLine="720"/>
        <w:jc w:val="both"/>
        <w:rPr>
          <w:rFonts w:ascii="Times New Roman" w:hAnsi="Times New Roman" w:cs="Times New Roman"/>
          <w:sz w:val="28"/>
          <w:szCs w:val="28"/>
        </w:rPr>
      </w:pPr>
      <w:r w:rsidRPr="001B70BE">
        <w:rPr>
          <w:rFonts w:ascii="Times New Roman" w:hAnsi="Times New Roman" w:cs="Times New Roman"/>
          <w:sz w:val="28"/>
          <w:szCs w:val="28"/>
        </w:rPr>
        <w:t>Clarification rates as high as 97 % or more are achievable. The basic flow scheme for a DAF system is illustrated in Figure 2</w:t>
      </w:r>
    </w:p>
    <w:p w:rsidR="005E2B57" w:rsidRPr="001B70BE" w:rsidRDefault="008A75AF" w:rsidP="008A75AF">
      <w:pPr>
        <w:ind w:firstLine="720"/>
        <w:jc w:val="both"/>
        <w:rPr>
          <w:rFonts w:ascii="Times New Roman" w:hAnsi="Times New Roman" w:cs="Times New Roman"/>
          <w:sz w:val="28"/>
          <w:szCs w:val="28"/>
        </w:rPr>
      </w:pPr>
      <w:r w:rsidRPr="001B70BE">
        <w:rPr>
          <w:rFonts w:ascii="Times New Roman" w:hAnsi="Times New Roman" w:cs="Times New Roman"/>
          <w:sz w:val="28"/>
          <w:szCs w:val="28"/>
        </w:rPr>
        <w:t>.</w:t>
      </w:r>
      <w:r w:rsidR="005E2B57" w:rsidRPr="008A75AF">
        <w:rPr>
          <w:rFonts w:ascii="Times New Roman" w:hAnsi="Times New Roman" w:cs="Times New Roman"/>
          <w:i/>
          <w:iCs/>
          <w:sz w:val="28"/>
          <w:szCs w:val="28"/>
        </w:rPr>
        <w:t>The conventional DAF</w:t>
      </w:r>
      <w:r w:rsidR="005E2B57" w:rsidRPr="001B70BE">
        <w:rPr>
          <w:rFonts w:ascii="Times New Roman" w:hAnsi="Times New Roman" w:cs="Times New Roman"/>
          <w:sz w:val="28"/>
          <w:szCs w:val="28"/>
        </w:rPr>
        <w:t xml:space="preserve"> saturation design relies on a recycle pump combined with a saturation vessel and air compressor to dissolve air into the water. This type of system is effective, however it has the drawbacks of being labor intensive, is expensive, and can destabilize its point of equilibrium, creating “burps” due to incorrect, loss or creeping of EQ set-point in the saturation vessel. Such designs are slow to recover and can upset the flotation process. Air transfer efficiency is roughly 9 % with 80 % entrainment. This operational methodology can result in an increase in chemical use, labor costs, downtime, effluent loadings, </w:t>
      </w:r>
      <w:proofErr w:type="gramStart"/>
      <w:r w:rsidR="005E2B57" w:rsidRPr="001B70BE">
        <w:rPr>
          <w:rFonts w:ascii="Times New Roman" w:hAnsi="Times New Roman" w:cs="Times New Roman"/>
          <w:sz w:val="28"/>
          <w:szCs w:val="28"/>
        </w:rPr>
        <w:t>production</w:t>
      </w:r>
      <w:proofErr w:type="gramEnd"/>
      <w:r w:rsidR="005E2B57" w:rsidRPr="001B70BE">
        <w:rPr>
          <w:rFonts w:ascii="Times New Roman" w:hAnsi="Times New Roman" w:cs="Times New Roman"/>
          <w:sz w:val="28"/>
          <w:szCs w:val="28"/>
        </w:rPr>
        <w:t xml:space="preserve"> schedules due to the EQ loss. To overcome these shortcomings, some equipment suppliers have devised operational and control schemes that are best categorized as pollution prevention techniques.</w:t>
      </w:r>
    </w:p>
    <w:p w:rsidR="005E2B57" w:rsidRPr="001B70BE" w:rsidRDefault="005E2B57" w:rsidP="005E2B57">
      <w:pPr>
        <w:ind w:firstLine="720"/>
        <w:jc w:val="both"/>
        <w:rPr>
          <w:rFonts w:ascii="Times New Roman" w:hAnsi="Times New Roman" w:cs="Times New Roman"/>
          <w:sz w:val="28"/>
          <w:szCs w:val="28"/>
        </w:rPr>
      </w:pPr>
      <w:r w:rsidRPr="001B70BE">
        <w:rPr>
          <w:rFonts w:ascii="Times New Roman" w:hAnsi="Times New Roman" w:cs="Times New Roman"/>
          <w:sz w:val="28"/>
          <w:szCs w:val="28"/>
        </w:rPr>
        <w:lastRenderedPageBreak/>
        <w:t xml:space="preserve">A variation for one vendor is shown in Figure 26. The design and control of the system takes into consideration the following parameters: flow rate, water temperature, waste characteristics, chemical pretreatment options, solids loading, hydraulic loading, </w:t>
      </w:r>
      <w:proofErr w:type="gramStart"/>
      <w:r w:rsidRPr="001B70BE">
        <w:rPr>
          <w:rFonts w:ascii="Times New Roman" w:hAnsi="Times New Roman" w:cs="Times New Roman"/>
          <w:sz w:val="28"/>
          <w:szCs w:val="28"/>
        </w:rPr>
        <w:t>the</w:t>
      </w:r>
      <w:proofErr w:type="gramEnd"/>
      <w:r w:rsidRPr="001B70BE">
        <w:rPr>
          <w:rFonts w:ascii="Times New Roman" w:hAnsi="Times New Roman" w:cs="Times New Roman"/>
          <w:sz w:val="28"/>
          <w:szCs w:val="28"/>
        </w:rPr>
        <w:t xml:space="preserve"> air to solids ratio. Units are designed on the basis of peak flow rate expected.</w:t>
      </w:r>
    </w:p>
    <w:p w:rsidR="005E2B57" w:rsidRDefault="005E2B57" w:rsidP="005E2B57">
      <w:pPr>
        <w:ind w:firstLine="720"/>
        <w:jc w:val="both"/>
      </w:pPr>
      <w:r w:rsidRPr="001B70BE">
        <w:rPr>
          <w:rFonts w:ascii="Times New Roman" w:hAnsi="Times New Roman" w:cs="Times New Roman"/>
          <w:sz w:val="28"/>
          <w:szCs w:val="28"/>
        </w:rPr>
        <w:t xml:space="preserve">Chemical pretreatment is often used to improve the performance of contaminant removal. The use of chemical flocculants is based on system efficiency, the specific DAF application and cost. Commonly used chemicals include trivalent metallic salts of iron, such as FeCl2 or FeS04 or aluminum, such as A1S04. Organic and inorganic polymers (cationic or </w:t>
      </w:r>
      <w:r>
        <w:t>anionic) are generally used to enhance the DAF process.</w:t>
      </w:r>
    </w:p>
    <w:p w:rsidR="005C09C2" w:rsidRDefault="005C09C2" w:rsidP="005C09C2">
      <w:pPr>
        <w:pStyle w:val="af1"/>
        <w:rPr>
          <w:rFonts w:ascii="Times New Roman" w:hAnsi="Times New Roman" w:cs="Times New Roman"/>
        </w:rPr>
      </w:pPr>
    </w:p>
    <w:p w:rsidR="005C09C2" w:rsidRPr="00041C49" w:rsidRDefault="005C09C2" w:rsidP="005C09C2">
      <w:pPr>
        <w:pStyle w:val="af1"/>
        <w:rPr>
          <w:rFonts w:ascii="Times New Roman" w:hAnsi="Times New Roman" w:cs="Times New Roman"/>
        </w:rPr>
      </w:pPr>
      <w:r w:rsidRPr="00041C49">
        <w:rPr>
          <w:rFonts w:ascii="Times New Roman" w:hAnsi="Times New Roman" w:cs="Times New Roman"/>
        </w:rPr>
        <w:t>QUESTIONS FOR THINKING AND DISCUSSING</w:t>
      </w:r>
    </w:p>
    <w:p w:rsidR="005C09C2" w:rsidRPr="00041C49" w:rsidRDefault="005C09C2" w:rsidP="009C6833">
      <w:pPr>
        <w:pStyle w:val="af1"/>
        <w:numPr>
          <w:ilvl w:val="0"/>
          <w:numId w:val="9"/>
        </w:numPr>
        <w:rPr>
          <w:rFonts w:ascii="Times New Roman" w:hAnsi="Times New Roman" w:cs="Times New Roman"/>
        </w:rPr>
      </w:pPr>
      <w:r w:rsidRPr="00041C49">
        <w:rPr>
          <w:rFonts w:ascii="Times New Roman" w:hAnsi="Times New Roman" w:cs="Times New Roman"/>
        </w:rPr>
        <w:t>Briefly explain the principle of adsorbtion and how it is used in water treatment.</w:t>
      </w:r>
    </w:p>
    <w:p w:rsidR="005C09C2" w:rsidRPr="00041C49" w:rsidRDefault="005C09C2" w:rsidP="009C6833">
      <w:pPr>
        <w:pStyle w:val="af1"/>
        <w:numPr>
          <w:ilvl w:val="0"/>
          <w:numId w:val="9"/>
        </w:numPr>
        <w:rPr>
          <w:rFonts w:ascii="Times New Roman" w:hAnsi="Times New Roman" w:cs="Times New Roman"/>
        </w:rPr>
      </w:pPr>
      <w:r w:rsidRPr="00041C49">
        <w:rPr>
          <w:rFonts w:ascii="Times New Roman" w:hAnsi="Times New Roman" w:cs="Times New Roman"/>
        </w:rPr>
        <w:t>What parameters impact on the effectiveness of chlorine as a water disinfectant?</w:t>
      </w:r>
    </w:p>
    <w:p w:rsidR="005C09C2" w:rsidRPr="00041C49" w:rsidRDefault="005C09C2" w:rsidP="009C6833">
      <w:pPr>
        <w:pStyle w:val="af1"/>
        <w:numPr>
          <w:ilvl w:val="0"/>
          <w:numId w:val="9"/>
        </w:numPr>
        <w:rPr>
          <w:rFonts w:ascii="Times New Roman" w:hAnsi="Times New Roman" w:cs="Times New Roman"/>
        </w:rPr>
      </w:pPr>
      <w:r w:rsidRPr="00041C49">
        <w:rPr>
          <w:rFonts w:ascii="Times New Roman" w:hAnsi="Times New Roman" w:cs="Times New Roman"/>
        </w:rPr>
        <w:t>List several alternative chemicals that compete with chlorine as a disinfectant.</w:t>
      </w:r>
    </w:p>
    <w:p w:rsidR="005E2B57" w:rsidRDefault="005E2B57" w:rsidP="005F0F2B">
      <w:pPr>
        <w:ind w:firstLine="720"/>
        <w:jc w:val="both"/>
        <w:rPr>
          <w:rFonts w:ascii="Times New Roman" w:hAnsi="Times New Roman" w:cs="Times New Roman"/>
          <w:b/>
          <w:bCs/>
          <w:color w:val="auto"/>
          <w:sz w:val="28"/>
          <w:szCs w:val="28"/>
        </w:rPr>
      </w:pPr>
    </w:p>
    <w:p w:rsidR="005F0F2B" w:rsidRDefault="005F0F2B" w:rsidP="005F0F2B">
      <w:pPr>
        <w:ind w:firstLine="720"/>
        <w:jc w:val="both"/>
        <w:rPr>
          <w:rFonts w:ascii="Times New Roman" w:hAnsi="Times New Roman" w:cs="Times New Roman"/>
          <w:b/>
          <w:bCs/>
          <w:color w:val="auto"/>
          <w:sz w:val="28"/>
          <w:szCs w:val="28"/>
        </w:rPr>
      </w:pPr>
      <w:r w:rsidRPr="005F0F2B">
        <w:rPr>
          <w:rFonts w:ascii="Times New Roman" w:hAnsi="Times New Roman" w:cs="Times New Roman"/>
          <w:b/>
          <w:bCs/>
          <w:color w:val="auto"/>
          <w:sz w:val="28"/>
          <w:szCs w:val="28"/>
        </w:rPr>
        <w:t xml:space="preserve"> </w:t>
      </w:r>
      <w:proofErr w:type="gramStart"/>
      <w:r w:rsidRPr="005F0F2B">
        <w:rPr>
          <w:rFonts w:ascii="Times New Roman" w:hAnsi="Times New Roman" w:cs="Times New Roman"/>
          <w:b/>
          <w:bCs/>
          <w:color w:val="auto"/>
          <w:sz w:val="28"/>
          <w:szCs w:val="28"/>
        </w:rPr>
        <w:t>ELEKTRODIALSH.</w:t>
      </w:r>
      <w:proofErr w:type="gramEnd"/>
      <w:r w:rsidRPr="005F0F2B">
        <w:rPr>
          <w:rFonts w:ascii="Times New Roman" w:hAnsi="Times New Roman" w:cs="Times New Roman"/>
          <w:b/>
          <w:bCs/>
          <w:color w:val="auto"/>
          <w:sz w:val="28"/>
          <w:szCs w:val="28"/>
        </w:rPr>
        <w:t xml:space="preserve"> </w:t>
      </w:r>
      <w:proofErr w:type="gramStart"/>
      <w:r w:rsidRPr="005F0F2B">
        <w:rPr>
          <w:rFonts w:ascii="Times New Roman" w:hAnsi="Times New Roman" w:cs="Times New Roman"/>
          <w:b/>
          <w:bCs/>
          <w:color w:val="auto"/>
          <w:sz w:val="28"/>
          <w:szCs w:val="28"/>
        </w:rPr>
        <w:t>SCOPE AND OPERATION.</w:t>
      </w:r>
      <w:proofErr w:type="gramEnd"/>
    </w:p>
    <w:p w:rsidR="009101BA" w:rsidRDefault="009101BA" w:rsidP="005F0F2B">
      <w:pPr>
        <w:ind w:firstLine="720"/>
        <w:jc w:val="both"/>
        <w:rPr>
          <w:rFonts w:ascii="Times New Roman" w:hAnsi="Times New Roman" w:cs="Times New Roman"/>
          <w:b/>
          <w:bCs/>
          <w:color w:val="auto"/>
          <w:sz w:val="28"/>
          <w:szCs w:val="28"/>
        </w:rPr>
      </w:pPr>
    </w:p>
    <w:p w:rsidR="006834D3" w:rsidRPr="008A75AF" w:rsidRDefault="006834D3" w:rsidP="009C6833">
      <w:pPr>
        <w:numPr>
          <w:ilvl w:val="0"/>
          <w:numId w:val="27"/>
        </w:numPr>
        <w:jc w:val="both"/>
        <w:rPr>
          <w:rFonts w:ascii="Times New Roman" w:hAnsi="Times New Roman" w:cs="Times New Roman"/>
          <w:i/>
          <w:iCs/>
          <w:sz w:val="28"/>
          <w:szCs w:val="28"/>
        </w:rPr>
      </w:pPr>
      <w:r w:rsidRPr="008A75AF">
        <w:rPr>
          <w:rFonts w:ascii="Times New Roman" w:hAnsi="Times New Roman" w:cs="Times New Roman"/>
          <w:i/>
          <w:iCs/>
          <w:sz w:val="28"/>
          <w:szCs w:val="28"/>
        </w:rPr>
        <w:t>Electrodialysis Microfiltration</w:t>
      </w:r>
    </w:p>
    <w:p w:rsidR="006834D3" w:rsidRPr="008A75AF" w:rsidRDefault="006834D3" w:rsidP="009C6833">
      <w:pPr>
        <w:numPr>
          <w:ilvl w:val="0"/>
          <w:numId w:val="27"/>
        </w:numPr>
        <w:jc w:val="both"/>
        <w:rPr>
          <w:rFonts w:ascii="Times New Roman" w:hAnsi="Times New Roman" w:cs="Times New Roman"/>
          <w:i/>
          <w:iCs/>
          <w:sz w:val="28"/>
          <w:szCs w:val="28"/>
        </w:rPr>
      </w:pPr>
      <w:r w:rsidRPr="008A75AF">
        <w:rPr>
          <w:rFonts w:ascii="Times New Roman" w:hAnsi="Times New Roman" w:cs="Times New Roman"/>
          <w:i/>
          <w:iCs/>
          <w:sz w:val="28"/>
          <w:szCs w:val="28"/>
        </w:rPr>
        <w:t>Ultrafiltration Nanofiltration</w:t>
      </w:r>
    </w:p>
    <w:p w:rsidR="006834D3" w:rsidRPr="008A75AF" w:rsidRDefault="006834D3" w:rsidP="009C6833">
      <w:pPr>
        <w:numPr>
          <w:ilvl w:val="0"/>
          <w:numId w:val="27"/>
        </w:numPr>
        <w:jc w:val="both"/>
        <w:rPr>
          <w:rFonts w:ascii="Times New Roman" w:hAnsi="Times New Roman" w:cs="Times New Roman"/>
          <w:i/>
          <w:iCs/>
          <w:sz w:val="28"/>
          <w:szCs w:val="28"/>
          <w:lang w:val="kk-KZ"/>
        </w:rPr>
      </w:pPr>
      <w:r w:rsidRPr="008A75AF">
        <w:rPr>
          <w:rFonts w:ascii="Times New Roman" w:hAnsi="Times New Roman" w:cs="Times New Roman"/>
          <w:i/>
          <w:iCs/>
          <w:sz w:val="28"/>
          <w:szCs w:val="28"/>
        </w:rPr>
        <w:t xml:space="preserve">Reverse Osmosis </w:t>
      </w:r>
    </w:p>
    <w:p w:rsidR="008A75AF" w:rsidRPr="008A75AF" w:rsidRDefault="008A75AF" w:rsidP="008A75AF">
      <w:pPr>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8A75AF">
        <w:rPr>
          <w:rFonts w:ascii="Times New Roman" w:hAnsi="Times New Roman" w:cs="Times New Roman"/>
          <w:i/>
          <w:iCs/>
          <w:sz w:val="28"/>
          <w:szCs w:val="28"/>
        </w:rPr>
        <w:t>Electrodialysis Microfiltration</w:t>
      </w:r>
    </w:p>
    <w:p w:rsidR="005F0F2B" w:rsidRPr="005F0F2B" w:rsidRDefault="005F0F2B" w:rsidP="006834D3">
      <w:pPr>
        <w:ind w:firstLine="720"/>
        <w:jc w:val="both"/>
        <w:rPr>
          <w:rFonts w:ascii="Times New Roman" w:hAnsi="Times New Roman" w:cs="Times New Roman"/>
          <w:sz w:val="28"/>
          <w:szCs w:val="28"/>
        </w:rPr>
      </w:pPr>
      <w:r w:rsidRPr="005F0F2B">
        <w:rPr>
          <w:rFonts w:ascii="Times New Roman" w:hAnsi="Times New Roman" w:cs="Times New Roman"/>
          <w:sz w:val="28"/>
          <w:szCs w:val="28"/>
        </w:rPr>
        <w:t>There are five types of membrane processes, which are commonly used in water and wastewater treatment:</w:t>
      </w:r>
    </w:p>
    <w:p w:rsidR="005F0F2B" w:rsidRPr="005F0F2B" w:rsidRDefault="005F0F2B" w:rsidP="006834D3">
      <w:pPr>
        <w:ind w:firstLine="720"/>
        <w:jc w:val="both"/>
        <w:rPr>
          <w:rFonts w:ascii="Times New Roman" w:hAnsi="Times New Roman" w:cs="Times New Roman"/>
          <w:sz w:val="28"/>
          <w:szCs w:val="28"/>
        </w:rPr>
      </w:pPr>
      <w:r w:rsidRPr="005F0F2B">
        <w:rPr>
          <w:rFonts w:ascii="Times New Roman" w:hAnsi="Times New Roman" w:cs="Times New Roman"/>
          <w:sz w:val="28"/>
          <w:szCs w:val="28"/>
        </w:rPr>
        <w:t>Through these processes dissolved substances and/or finely dispersed particles can be separated from liquids. All five technologies rely on membrane transport, the passage of solutes or solvents through thin, porous polymeric membranes.</w:t>
      </w:r>
    </w:p>
    <w:p w:rsidR="005F0F2B" w:rsidRPr="005F0F2B" w:rsidRDefault="005F0F2B" w:rsidP="003F7F8A">
      <w:pPr>
        <w:numPr>
          <w:ilvl w:val="0"/>
          <w:numId w:val="2"/>
        </w:numPr>
        <w:tabs>
          <w:tab w:val="clear" w:pos="1440"/>
          <w:tab w:val="num" w:pos="0"/>
        </w:tabs>
        <w:ind w:left="360"/>
        <w:jc w:val="both"/>
        <w:rPr>
          <w:rFonts w:ascii="Times New Roman" w:hAnsi="Times New Roman" w:cs="Times New Roman"/>
          <w:sz w:val="28"/>
          <w:szCs w:val="28"/>
        </w:rPr>
      </w:pPr>
      <w:r w:rsidRPr="005F0F2B">
        <w:rPr>
          <w:rFonts w:ascii="Times New Roman" w:hAnsi="Times New Roman" w:cs="Times New Roman"/>
          <w:sz w:val="28"/>
          <w:szCs w:val="28"/>
        </w:rPr>
        <w:t>A membrane is defined as an intervening phase separating two phases forming an active or passive barrier to the transport of matter. Membrane processes can be operated as: (1) Dead-end filtration;</w:t>
      </w:r>
      <w:r w:rsidRPr="005F0F2B">
        <w:rPr>
          <w:rFonts w:ascii="Times New Roman" w:hAnsi="Times New Roman" w:cs="Times New Roman"/>
          <w:sz w:val="28"/>
          <w:szCs w:val="28"/>
        </w:rPr>
        <w:tab/>
        <w:t>and</w:t>
      </w:r>
      <w:r w:rsidRPr="005F0F2B">
        <w:rPr>
          <w:rFonts w:ascii="Times New Roman" w:hAnsi="Times New Roman" w:cs="Times New Roman"/>
          <w:sz w:val="28"/>
          <w:szCs w:val="28"/>
        </w:rPr>
        <w:tab/>
        <w:t>(2)</w:t>
      </w:r>
      <w:r w:rsidRPr="005F0F2B">
        <w:rPr>
          <w:rFonts w:ascii="Times New Roman" w:hAnsi="Times New Roman" w:cs="Times New Roman"/>
          <w:sz w:val="28"/>
          <w:szCs w:val="28"/>
        </w:rPr>
        <w:tab/>
        <w:t>Cross-flow</w:t>
      </w:r>
      <w:r w:rsidRPr="005F0F2B">
        <w:rPr>
          <w:rFonts w:ascii="Times New Roman" w:hAnsi="Times New Roman" w:cs="Times New Roman"/>
          <w:sz w:val="28"/>
          <w:szCs w:val="28"/>
        </w:rPr>
        <w:tab/>
        <w:t>filtration.</w:t>
      </w:r>
      <w:r w:rsidRPr="005F0F2B">
        <w:rPr>
          <w:rFonts w:ascii="Times New Roman" w:hAnsi="Times New Roman" w:cs="Times New Roman"/>
          <w:sz w:val="28"/>
          <w:szCs w:val="28"/>
        </w:rPr>
        <w:tab/>
        <w:t>Dead-end</w:t>
      </w:r>
    </w:p>
    <w:p w:rsidR="005F0F2B" w:rsidRPr="005F0F2B" w:rsidRDefault="005F0F2B" w:rsidP="003F7F8A">
      <w:pPr>
        <w:numPr>
          <w:ilvl w:val="0"/>
          <w:numId w:val="2"/>
        </w:numPr>
        <w:tabs>
          <w:tab w:val="clear" w:pos="1440"/>
          <w:tab w:val="num" w:pos="0"/>
        </w:tabs>
        <w:ind w:left="360"/>
        <w:jc w:val="both"/>
        <w:rPr>
          <w:rFonts w:ascii="Times New Roman" w:hAnsi="Times New Roman" w:cs="Times New Roman"/>
          <w:sz w:val="28"/>
          <w:szCs w:val="28"/>
        </w:rPr>
      </w:pPr>
      <w:proofErr w:type="gramStart"/>
      <w:r w:rsidRPr="005F0F2B">
        <w:rPr>
          <w:rFonts w:ascii="Times New Roman" w:hAnsi="Times New Roman" w:cs="Times New Roman"/>
          <w:sz w:val="28"/>
          <w:szCs w:val="28"/>
        </w:rPr>
        <w:t>filtration</w:t>
      </w:r>
      <w:proofErr w:type="gramEnd"/>
      <w:r w:rsidRPr="005F0F2B">
        <w:rPr>
          <w:rFonts w:ascii="Times New Roman" w:hAnsi="Times New Roman" w:cs="Times New Roman"/>
          <w:sz w:val="28"/>
          <w:szCs w:val="28"/>
        </w:rPr>
        <w:t xml:space="preserve"> refers to filtration at one end.</w:t>
      </w:r>
      <w:r w:rsidRPr="005F0F2B">
        <w:rPr>
          <w:rFonts w:ascii="Times New Roman" w:hAnsi="Times New Roman" w:cs="Times New Roman"/>
          <w:sz w:val="28"/>
          <w:szCs w:val="28"/>
        </w:rPr>
        <w:tab/>
        <w:t>A</w:t>
      </w:r>
      <w:r w:rsidRPr="005F0F2B">
        <w:rPr>
          <w:rFonts w:ascii="Times New Roman" w:hAnsi="Times New Roman" w:cs="Times New Roman"/>
          <w:sz w:val="28"/>
          <w:szCs w:val="28"/>
        </w:rPr>
        <w:tab/>
        <w:t>problem with these systems is</w:t>
      </w:r>
      <w:r w:rsidRPr="005F0F2B">
        <w:rPr>
          <w:rFonts w:ascii="Times New Roman" w:hAnsi="Times New Roman" w:cs="Times New Roman"/>
          <w:sz w:val="28"/>
          <w:szCs w:val="28"/>
        </w:rPr>
        <w:tab/>
        <w:t>frequent</w:t>
      </w:r>
    </w:p>
    <w:p w:rsidR="005F0F2B" w:rsidRPr="005F0F2B" w:rsidRDefault="005F0F2B" w:rsidP="003F7F8A">
      <w:pPr>
        <w:numPr>
          <w:ilvl w:val="0"/>
          <w:numId w:val="2"/>
        </w:numPr>
        <w:tabs>
          <w:tab w:val="clear" w:pos="1440"/>
          <w:tab w:val="num" w:pos="0"/>
        </w:tabs>
        <w:ind w:left="360"/>
        <w:jc w:val="both"/>
        <w:rPr>
          <w:rFonts w:ascii="Times New Roman" w:hAnsi="Times New Roman" w:cs="Times New Roman"/>
          <w:sz w:val="28"/>
          <w:szCs w:val="28"/>
        </w:rPr>
      </w:pPr>
      <w:proofErr w:type="gramStart"/>
      <w:r w:rsidRPr="005F0F2B">
        <w:rPr>
          <w:rFonts w:ascii="Times New Roman" w:hAnsi="Times New Roman" w:cs="Times New Roman"/>
          <w:sz w:val="28"/>
          <w:szCs w:val="28"/>
        </w:rPr>
        <w:t>membrane</w:t>
      </w:r>
      <w:proofErr w:type="gramEnd"/>
      <w:r w:rsidRPr="005F0F2B">
        <w:rPr>
          <w:rFonts w:ascii="Times New Roman" w:hAnsi="Times New Roman" w:cs="Times New Roman"/>
          <w:sz w:val="28"/>
          <w:szCs w:val="28"/>
        </w:rPr>
        <w:t xml:space="preserve"> clogging. Cross-flow filtration overcomes the problem of membrane clogging and is widely used in water and wastewater treatment.</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The membrane itself is a polymeric coating or extrusion with inverted conical</w:t>
      </w:r>
      <w:r w:rsidRPr="005F0F2B">
        <w:rPr>
          <w:rFonts w:ascii="Times New Roman" w:hAnsi="Times New Roman" w:cs="Times New Roman"/>
          <w:sz w:val="28"/>
          <w:szCs w:val="28"/>
        </w:rPr>
        <w:softHyphen/>
        <w:t xml:space="preserve">shaped pores. Membrane filters do not plug because the pore diameter is smaller at the top, which is the point of contact with the wastewater. Material passing through the membrane passes unimpeded through the membrane structure, therefore eliminating accumulation of material within the filter. Wastewater is pumped across the membrane surface at high flow rates. This parallel fluid flow eliminates the cake-like build-up typical of conventional filters such as bags and cartridges which must be frequently replaced. Some wastewater contaminants </w:t>
      </w:r>
      <w:r w:rsidRPr="005F0F2B">
        <w:rPr>
          <w:rFonts w:ascii="Times New Roman" w:hAnsi="Times New Roman" w:cs="Times New Roman"/>
          <w:sz w:val="28"/>
          <w:szCs w:val="28"/>
        </w:rPr>
        <w:lastRenderedPageBreak/>
        <w:t>slowly accumulate on the membrane surface, forming a thin film, during normal operating conditions. This fouling process is normal and causes the filtration rate to slowly decrease with time. When membranes no longer produce clean water at the desired rate they are cleaned in place with soap and water and returned to service. Membranes can be repeatedly cleaned for years of productive, dependable service prior to replacement.</w:t>
      </w:r>
    </w:p>
    <w:p w:rsidR="005F0F2B" w:rsidRPr="005F0F2B" w:rsidRDefault="005F0F2B" w:rsidP="005F0F2B">
      <w:pPr>
        <w:ind w:firstLine="720"/>
        <w:jc w:val="both"/>
        <w:rPr>
          <w:rFonts w:ascii="Times New Roman" w:hAnsi="Times New Roman" w:cs="Times New Roman"/>
          <w:sz w:val="28"/>
          <w:szCs w:val="28"/>
        </w:rPr>
      </w:pPr>
      <w:bookmarkStart w:id="19" w:name="bookmark174"/>
      <w:r w:rsidRPr="005F0F2B">
        <w:rPr>
          <w:rFonts w:ascii="Times New Roman" w:hAnsi="Times New Roman" w:cs="Times New Roman"/>
          <w:sz w:val="28"/>
          <w:szCs w:val="28"/>
        </w:rPr>
        <w:t>Most of these processes are oftentimes used with chemical mechanical polishing</w:t>
      </w:r>
      <w:bookmarkEnd w:id="19"/>
      <w:r w:rsidRPr="005F0F2B">
        <w:rPr>
          <w:rFonts w:ascii="Times New Roman" w:hAnsi="Times New Roman" w:cs="Times New Roman"/>
          <w:sz w:val="28"/>
          <w:szCs w:val="28"/>
        </w:rPr>
        <w:t xml:space="preserve"> (CMP), which is fast becoming the established technology for planarizing multilevel devices. This process requires large quantities of ultrapure water for rinsing slurry particles off the polished wafers. Treatment by this method is generally needed in order to maintain an acceptable level of total suspended solids (TSS) in industrial wastewater effluent. With large quantities of particles in the CMP wastewater stream, crossflow filtration is the most economical method for TSS removal.</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The technologies discussed in this chapter are changing relatively rapidly, and hence you need to stay in touch with vendor developments. Remember to refer to the Glossary at the end of the book if you run across any terms that are unfamiliar to you.</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The principle behind electrodialysis is that electrical potential gradients will make charged molecules diffuse in a given medium at rates far greater than attainable by chemical potentials between two liquids as in conventional dialysis. When a DC electric current is transmitted through a saline solution, the cations migrate toward the negative terminal, or cathode, and the anions toward the positive terminal, the anode. By adjusting the potential between the terminals or plates, the electric current and, therefore, the flow of ions transported between the plates can be varied.</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Electrodialysis can be applied to the continuous-flow type of operation needed in industry. Multi-membrane stacks can be built by alternately spacing anionic- and cationic-selective membranes. Among the technical problems associated with the electrodialysis process, concentration polarization is perhaps the most serious (discussed later). Other problems in practical applications include membrane scaling by inorganics in feed solutions as well as membrane fouling by organics.</w:t>
      </w:r>
    </w:p>
    <w:p w:rsidR="008A75AF" w:rsidRPr="008A75AF" w:rsidRDefault="008A75AF" w:rsidP="008A75AF">
      <w:pPr>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8A75AF">
        <w:rPr>
          <w:rFonts w:ascii="Times New Roman" w:hAnsi="Times New Roman" w:cs="Times New Roman"/>
          <w:i/>
          <w:iCs/>
          <w:sz w:val="28"/>
          <w:szCs w:val="28"/>
        </w:rPr>
        <w:t>Ultrafiltration Nanofiltration</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Efficient separation or pretreatment in the influent streams can include activated carbon absorption to reduce or prevent such problems. Principal applications of electrodialysis </w:t>
      </w:r>
      <w:proofErr w:type="gramStart"/>
      <w:r w:rsidRPr="005F0F2B">
        <w:rPr>
          <w:rFonts w:ascii="Times New Roman" w:hAnsi="Times New Roman" w:cs="Times New Roman"/>
          <w:sz w:val="28"/>
          <w:szCs w:val="28"/>
        </w:rPr>
        <w:t>include:</w:t>
      </w:r>
      <w:proofErr w:type="gramEnd"/>
      <w:r w:rsidRPr="005F0F2B">
        <w:rPr>
          <w:rFonts w:ascii="Times New Roman" w:hAnsi="Times New Roman" w:cs="Times New Roman"/>
          <w:sz w:val="28"/>
          <w:szCs w:val="28"/>
        </w:rPr>
        <w:t>(1) Recovery of materials from liquid effluents, such as processes related to conservation, cleanup, concentration, and separation of desirable fractions from undesirable ones; (2) Purification of water sources; (3) Effluent water renovation for reuse or to meet point source disposal standards required to maintain suitable water quality in the receptor streams.</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Cconcentration-polarization is a problem which also exists in reverse osmosis systems, and is due to of a build-up in the concentration of ions on one side of the membrane and a decrease in concentration on the opposite side. This adversely affects the operation of membranes and can even damage or destroy </w:t>
      </w:r>
      <w:r w:rsidRPr="005F0F2B">
        <w:rPr>
          <w:rFonts w:ascii="Times New Roman" w:hAnsi="Times New Roman" w:cs="Times New Roman"/>
          <w:sz w:val="28"/>
          <w:szCs w:val="28"/>
        </w:rPr>
        <w:lastRenderedPageBreak/>
        <w:t>them. Polarization occurs when the movement of ions through the membrane is greater than the convective and diffusional movements of ions in the bulk solutions toward and away from the membrane. Along with a deleterious pH shift occurring at the membrane surface, polarization may cause solution contamination and sharply decrease energy efficiency. Commercial electrodialyzer designs incorporate various baffles or turbulence promoters and limit current densities to avoid these effects. Increased feed flow also assists mixing but requires additional power for pumping.</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Treatment of brackish waters in the production of potable supplies has been the largest application of electrodialysis. Costs associated with electrodialysis processes depend on such factors as the total dissolved solids (TDS) in the feed, the level of removal of TDS (percent rejection), and the size of the plant. In brackish water treatment, operating costs for very large ED installations (on the order of millions of gallons a day) have been between 40 cents to 50 cents per 1,000 gallons for brackish feed waters, which compares favorably with RO costs.</w:t>
      </w:r>
    </w:p>
    <w:p w:rsidR="005F0F2B" w:rsidRPr="005F0F2B" w:rsidRDefault="005F0F2B" w:rsidP="008A75AF">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A rough rule of thumb for the energy requirements for dernineralizing 1,000 gallons of salt water by ED in large capacity plants (4 mgd) is 5 to 7 kWh </w:t>
      </w:r>
      <w:proofErr w:type="gramStart"/>
      <w:r w:rsidRPr="005F0F2B">
        <w:rPr>
          <w:rFonts w:ascii="Times New Roman" w:hAnsi="Times New Roman" w:cs="Times New Roman"/>
          <w:sz w:val="28"/>
          <w:szCs w:val="28"/>
        </w:rPr>
        <w:t>per</w:t>
      </w:r>
      <w:r w:rsidR="008A75AF">
        <w:rPr>
          <w:rFonts w:ascii="Times New Roman" w:hAnsi="Times New Roman" w:cs="Times New Roman"/>
          <w:sz w:val="28"/>
          <w:szCs w:val="28"/>
        </w:rPr>
        <w:t xml:space="preserve"> </w:t>
      </w:r>
      <w:r w:rsidRPr="005F0F2B">
        <w:rPr>
          <w:rFonts w:ascii="Times New Roman" w:hAnsi="Times New Roman" w:cs="Times New Roman"/>
          <w:sz w:val="28"/>
          <w:szCs w:val="28"/>
        </w:rPr>
        <w:t xml:space="preserve"> ppm</w:t>
      </w:r>
      <w:proofErr w:type="gramEnd"/>
      <w:r w:rsidRPr="005F0F2B">
        <w:rPr>
          <w:rFonts w:ascii="Times New Roman" w:hAnsi="Times New Roman" w:cs="Times New Roman"/>
          <w:sz w:val="28"/>
          <w:szCs w:val="28"/>
        </w:rPr>
        <w:t xml:space="preserve"> of dissolved solids removed. Since the efficiency of electrodialytic demineralization decreases rapidly with increasing feed concentrations, this process is best utilized for treatment of weakly saline (brackish) waters containing less </w:t>
      </w:r>
      <w:proofErr w:type="gramStart"/>
      <w:r w:rsidRPr="005F0F2B">
        <w:rPr>
          <w:rFonts w:ascii="Times New Roman" w:hAnsi="Times New Roman" w:cs="Times New Roman"/>
          <w:sz w:val="28"/>
          <w:szCs w:val="28"/>
        </w:rPr>
        <w:t>than</w:t>
      </w:r>
      <w:r w:rsidR="008A75AF">
        <w:rPr>
          <w:rFonts w:ascii="Times New Roman" w:hAnsi="Times New Roman" w:cs="Times New Roman"/>
          <w:sz w:val="28"/>
          <w:szCs w:val="28"/>
        </w:rPr>
        <w:t xml:space="preserve"> </w:t>
      </w:r>
      <w:r w:rsidRPr="005F0F2B">
        <w:rPr>
          <w:rFonts w:ascii="Times New Roman" w:hAnsi="Times New Roman" w:cs="Times New Roman"/>
          <w:sz w:val="28"/>
          <w:szCs w:val="28"/>
        </w:rPr>
        <w:t xml:space="preserve"> ppm</w:t>
      </w:r>
      <w:proofErr w:type="gramEnd"/>
      <w:r w:rsidRPr="005F0F2B">
        <w:rPr>
          <w:rFonts w:ascii="Times New Roman" w:hAnsi="Times New Roman" w:cs="Times New Roman"/>
          <w:sz w:val="28"/>
          <w:szCs w:val="28"/>
        </w:rPr>
        <w:t xml:space="preserve"> of total dissolved solids. In fact, for waters at the low-concentration end of the brackish scale, ED may be the most cost-effective process of all. Electrodialysis is widely used in the </w:t>
      </w:r>
      <w:smartTag w:uri="urn:schemas-microsoft-com:office:smarttags" w:element="place">
        <w:smartTag w:uri="urn:schemas-microsoft-com:office:smarttags" w:element="country-region">
          <w:r w:rsidRPr="005F0F2B">
            <w:rPr>
              <w:rFonts w:ascii="Times New Roman" w:hAnsi="Times New Roman" w:cs="Times New Roman"/>
              <w:sz w:val="28"/>
              <w:szCs w:val="28"/>
            </w:rPr>
            <w:t>United States</w:t>
          </w:r>
        </w:smartTag>
      </w:smartTag>
      <w:r w:rsidRPr="005F0F2B">
        <w:rPr>
          <w:rFonts w:ascii="Times New Roman" w:hAnsi="Times New Roman" w:cs="Times New Roman"/>
          <w:sz w:val="28"/>
          <w:szCs w:val="28"/>
        </w:rPr>
        <w:t xml:space="preserve"> in the dairy industry, namely in the desalting of cheese whey. Electrical requirements may vary from 5 to 14 kWh per pound of product solids. Another application of ED is the sweetening of prepared citrus juices. Other less extensive uses of electrodialysis in commercial operations in the </w:t>
      </w:r>
      <w:smartTag w:uri="urn:schemas-microsoft-com:office:smarttags" w:element="place">
        <w:smartTag w:uri="urn:schemas-microsoft-com:office:smarttags" w:element="country-region">
          <w:r w:rsidRPr="005F0F2B">
            <w:rPr>
              <w:rFonts w:ascii="Times New Roman" w:hAnsi="Times New Roman" w:cs="Times New Roman"/>
              <w:sz w:val="28"/>
              <w:szCs w:val="28"/>
            </w:rPr>
            <w:t>United States</w:t>
          </w:r>
        </w:smartTag>
      </w:smartTag>
      <w:r w:rsidRPr="005F0F2B">
        <w:rPr>
          <w:rFonts w:ascii="Times New Roman" w:hAnsi="Times New Roman" w:cs="Times New Roman"/>
          <w:sz w:val="28"/>
          <w:szCs w:val="28"/>
        </w:rPr>
        <w:t xml:space="preserve"> include tertiary or advanced treatment of municipal sewage water and treatment of industrial wastewaters such as metal-plating baths, metal-finishing rinse waters, wood pulp wash water, and glass-etching solutions. Potential applications of ED are many. A particular advantage of the electrodialysis process is its ability to produce solutions of high concentrations of soluble salts. A combination of electrodialysis with conventional evaporation, for example, may be substantially cheaper than evaporation alone for the production of dry salt from saline solutions. Competing technologies include reverse osmosis and crystallization. As noted, the principle of ED is that electrical potential gradients will make charged molecules diffuse in a given medium at rates far greater than obtained by chemical potentials between two liquids, as in conventional dialysis. When a DC electric current is transmitted through a saline solution, most salts and minerals are dissolved in water as positively charged particles (anions, for example, Na*) and negatively charged particles (anions, for example, Cl). The cations migrate toward the negative terminal, or cathode, and the anions toward the positive terminal, the anode. By adjusting the potential between the terminals or plates and the electric current, the flow of ions transported between the plates can be varied.</w:t>
      </w:r>
    </w:p>
    <w:p w:rsidR="005F0F2B" w:rsidRPr="005F0F2B" w:rsidRDefault="005F0F2B" w:rsidP="005F0F2B">
      <w:pPr>
        <w:ind w:firstLine="720"/>
        <w:jc w:val="both"/>
        <w:rPr>
          <w:rFonts w:ascii="Times New Roman" w:hAnsi="Times New Roman" w:cs="Times New Roman"/>
          <w:sz w:val="28"/>
          <w:szCs w:val="28"/>
        </w:rPr>
        <w:sectPr w:rsidR="005F0F2B" w:rsidRPr="005F0F2B" w:rsidSect="005F0F2B">
          <w:headerReference w:type="even" r:id="rId395"/>
          <w:footerReference w:type="first" r:id="rId396"/>
          <w:pgSz w:w="11906" w:h="16838"/>
          <w:pgMar w:top="1134" w:right="851" w:bottom="1134" w:left="1701" w:header="0" w:footer="6" w:gutter="0"/>
          <w:cols w:space="720"/>
          <w:noEndnote/>
          <w:titlePg/>
          <w:docGrid w:linePitch="360"/>
        </w:sectPr>
      </w:pPr>
    </w:p>
    <w:p w:rsidR="003B6D07" w:rsidRPr="005F0F2B" w:rsidRDefault="005F0F2B" w:rsidP="003B6D07">
      <w:pPr>
        <w:ind w:firstLine="720"/>
        <w:jc w:val="both"/>
        <w:rPr>
          <w:rFonts w:ascii="Times New Roman" w:hAnsi="Times New Roman" w:cs="Times New Roman"/>
          <w:color w:val="auto"/>
          <w:sz w:val="28"/>
          <w:szCs w:val="28"/>
          <w:lang w:val="en-GB" w:eastAsia="ru-RU"/>
        </w:rPr>
      </w:pPr>
      <w:r w:rsidRPr="005F0F2B">
        <w:rPr>
          <w:rFonts w:ascii="Times New Roman" w:hAnsi="Times New Roman" w:cs="Times New Roman"/>
          <w:sz w:val="28"/>
          <w:szCs w:val="28"/>
        </w:rPr>
        <w:lastRenderedPageBreak/>
        <w:t xml:space="preserve">Added control of the movement of the ions can be obtained by placing </w:t>
      </w:r>
      <w:r w:rsidRPr="005F0F2B">
        <w:rPr>
          <w:rFonts w:ascii="Times New Roman" w:hAnsi="Times New Roman" w:cs="Times New Roman"/>
          <w:sz w:val="28"/>
          <w:szCs w:val="28"/>
        </w:rPr>
        <w:lastRenderedPageBreak/>
        <w:t>sheet-type membranes of cation- or anion-exchange material between the outer plates, as shown diagrammatically in Figure 1. These sheets of cationselective resins and anion-selective resins permit the passage of the respective ions in the solution. Under an applied DC field, the cations and anions will collect on one side of each membrane through which they are transported and vacate the other side. Thus, if a NaCl solution is supplied to the central zone of the cell shown in Figure 1, the Na+ ions will migrate through Membrane A, depleting the central zone (termed the diluting or product feed stream) of the salt ions. The two outer zones where the ions collect are commonly known as the concentrating or brine streams.</w:t>
      </w:r>
      <w:r w:rsidR="003B6D07" w:rsidRPr="003B6D07">
        <w:rPr>
          <w:rFonts w:ascii="Times New Roman" w:hAnsi="Times New Roman" w:cs="Times New Roman"/>
          <w:color w:val="auto"/>
          <w:sz w:val="28"/>
          <w:szCs w:val="28"/>
          <w:lang w:val="en-GB" w:eastAsia="ru-RU"/>
        </w:rPr>
        <w:t xml:space="preserve"> </w:t>
      </w:r>
    </w:p>
    <w:p w:rsidR="003B6D07" w:rsidRPr="005F0F2B" w:rsidRDefault="003B6D07" w:rsidP="003B6D07">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Multi-membrane stacks can be built from alternately spacing anionic- and cationic-selective membranes. Flow of solutions through specific compartments and appropriate recombination of transported ions permit desired enrichment of one stream and depletion of another. A schematic view of a typical stack based on the concept of alternating these concentrating and diluting compartments is shown in Figure 2. The feed stream enters each compartment along the top of the figure and flows downward toward the lower exit ports and manifolds. However, as the ionized streams move tangentially along the membranes, cations are transported, or attempt movement, toward the left and anions to the right, causing an alternate build-up and a depletion of ions in adjoining compartments. Thus, one resultant output stream is </w:t>
      </w:r>
      <w:proofErr w:type="gramStart"/>
      <w:r w:rsidRPr="005F0F2B">
        <w:rPr>
          <w:rFonts w:ascii="Times New Roman" w:hAnsi="Times New Roman" w:cs="Times New Roman"/>
          <w:sz w:val="28"/>
          <w:szCs w:val="28"/>
        </w:rPr>
        <w:t>a diluted</w:t>
      </w:r>
      <w:proofErr w:type="gramEnd"/>
      <w:r w:rsidRPr="005F0F2B">
        <w:rPr>
          <w:rFonts w:ascii="Times New Roman" w:hAnsi="Times New Roman" w:cs="Times New Roman"/>
          <w:sz w:val="28"/>
          <w:szCs w:val="28"/>
        </w:rPr>
        <w:t xml:space="preserve"> product water and the other is a concentrated stream of dissolved salt.</w:t>
      </w:r>
    </w:p>
    <w:p w:rsidR="005F0F2B" w:rsidRPr="005F0F2B" w:rsidRDefault="005F0F2B" w:rsidP="005F0F2B">
      <w:pPr>
        <w:ind w:firstLine="720"/>
        <w:jc w:val="both"/>
        <w:rPr>
          <w:rFonts w:ascii="Times New Roman" w:hAnsi="Times New Roman" w:cs="Times New Roman"/>
          <w:sz w:val="28"/>
          <w:szCs w:val="28"/>
        </w:rPr>
      </w:pPr>
    </w:p>
    <w:p w:rsidR="005F0F2B" w:rsidRPr="005F0F2B" w:rsidRDefault="008872CD" w:rsidP="005F0F2B">
      <w:pPr>
        <w:framePr w:h="2947" w:wrap="notBeside" w:vAnchor="text" w:hAnchor="text" w:xAlign="center" w:y="1"/>
        <w:ind w:firstLine="720"/>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drawing>
          <wp:inline distT="0" distB="0" distL="0" distR="0" wp14:anchorId="27D2EC7C" wp14:editId="61C728C9">
            <wp:extent cx="3289300" cy="1869440"/>
            <wp:effectExtent l="0" t="0" r="6350"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3289300" cy="1869440"/>
                    </a:xfrm>
                    <a:prstGeom prst="rect">
                      <a:avLst/>
                    </a:prstGeom>
                    <a:noFill/>
                    <a:ln>
                      <a:noFill/>
                    </a:ln>
                  </pic:spPr>
                </pic:pic>
              </a:graphicData>
            </a:graphic>
          </wp:inline>
        </w:drawing>
      </w:r>
    </w:p>
    <w:p w:rsidR="005F0F2B" w:rsidRPr="006376E4" w:rsidRDefault="005F0F2B" w:rsidP="005F0F2B">
      <w:pPr>
        <w:pStyle w:val="301"/>
        <w:framePr w:h="2947" w:wrap="notBeside" w:vAnchor="text" w:hAnchor="text" w:xAlign="center" w:y="1"/>
        <w:shd w:val="clear" w:color="auto" w:fill="auto"/>
        <w:spacing w:before="0" w:line="144" w:lineRule="exact"/>
        <w:ind w:firstLine="720"/>
        <w:jc w:val="both"/>
        <w:rPr>
          <w:rFonts w:ascii="Times New Roman" w:hAnsi="Times New Roman"/>
          <w:sz w:val="28"/>
          <w:szCs w:val="28"/>
          <w:lang w:val="en-US"/>
        </w:rPr>
      </w:pPr>
      <w:r w:rsidRPr="006376E4">
        <w:rPr>
          <w:rStyle w:val="300pt"/>
          <w:rFonts w:ascii="Times New Roman" w:hAnsi="Times New Roman"/>
          <w:color w:val="000000"/>
          <w:sz w:val="28"/>
          <w:szCs w:val="28"/>
          <w:lang w:val="en-US" w:eastAsia="en-US"/>
        </w:rPr>
        <w:t>NOTE:</w:t>
      </w:r>
    </w:p>
    <w:p w:rsidR="005F0F2B" w:rsidRPr="006376E4" w:rsidRDefault="005F0F2B" w:rsidP="005F0F2B">
      <w:pPr>
        <w:pStyle w:val="311"/>
        <w:framePr w:h="2947" w:wrap="notBeside" w:vAnchor="text" w:hAnchor="text" w:xAlign="center" w:y="1"/>
        <w:shd w:val="clear" w:color="auto" w:fill="auto"/>
        <w:ind w:firstLine="720"/>
        <w:rPr>
          <w:rFonts w:ascii="Times New Roman" w:hAnsi="Times New Roman"/>
          <w:sz w:val="28"/>
          <w:szCs w:val="28"/>
          <w:lang w:val="en-US"/>
        </w:rPr>
      </w:pPr>
      <w:r w:rsidRPr="005F0F2B">
        <w:rPr>
          <w:rStyle w:val="312"/>
          <w:rFonts w:ascii="Times New Roman" w:hAnsi="Times New Roman"/>
          <w:color w:val="000000"/>
          <w:sz w:val="28"/>
          <w:szCs w:val="28"/>
        </w:rPr>
        <w:t>С</w:t>
      </w:r>
      <w:r w:rsidRPr="005F0F2B">
        <w:rPr>
          <w:rStyle w:val="312"/>
          <w:rFonts w:ascii="Times New Roman" w:hAnsi="Times New Roman"/>
          <w:color w:val="000000"/>
          <w:sz w:val="28"/>
          <w:szCs w:val="28"/>
          <w:lang w:val="en-GB"/>
        </w:rPr>
        <w:t xml:space="preserve"> </w:t>
      </w:r>
      <w:r w:rsidRPr="006376E4">
        <w:rPr>
          <w:rStyle w:val="312"/>
          <w:rFonts w:ascii="Times New Roman" w:hAnsi="Times New Roman"/>
          <w:color w:val="000000"/>
          <w:sz w:val="28"/>
          <w:szCs w:val="28"/>
          <w:lang w:val="en-US" w:eastAsia="en-US"/>
        </w:rPr>
        <w:t>— Cation Selective Membrane A - Anion Selective Membrane</w:t>
      </w:r>
    </w:p>
    <w:p w:rsidR="005F0F2B" w:rsidRPr="006376E4" w:rsidRDefault="005F0F2B" w:rsidP="005F0F2B">
      <w:pPr>
        <w:pStyle w:val="15"/>
        <w:framePr w:h="2947" w:wrap="notBeside" w:vAnchor="text" w:hAnchor="text" w:xAlign="center" w:y="1"/>
        <w:shd w:val="clear" w:color="auto" w:fill="auto"/>
        <w:spacing w:line="180" w:lineRule="exact"/>
        <w:ind w:firstLine="720"/>
        <w:jc w:val="both"/>
        <w:rPr>
          <w:sz w:val="28"/>
          <w:szCs w:val="28"/>
          <w:lang w:val="en-US"/>
        </w:rPr>
      </w:pPr>
      <w:proofErr w:type="gramStart"/>
      <w:r w:rsidRPr="006376E4">
        <w:rPr>
          <w:rStyle w:val="ae"/>
          <w:color w:val="000000"/>
          <w:sz w:val="28"/>
          <w:szCs w:val="28"/>
          <w:lang w:val="en-US" w:eastAsia="en-US"/>
        </w:rPr>
        <w:t>Figure 1.</w:t>
      </w:r>
      <w:proofErr w:type="gramEnd"/>
      <w:r w:rsidRPr="006376E4">
        <w:rPr>
          <w:rStyle w:val="ae"/>
          <w:color w:val="000000"/>
          <w:sz w:val="28"/>
          <w:szCs w:val="28"/>
          <w:lang w:val="en-US" w:eastAsia="en-US"/>
        </w:rPr>
        <w:t xml:space="preserve"> Electrodialysis cell diagram,</w:t>
      </w:r>
    </w:p>
    <w:p w:rsidR="008A75AF" w:rsidRPr="008A75AF" w:rsidRDefault="008A75AF" w:rsidP="008A75AF">
      <w:pPr>
        <w:jc w:val="both"/>
        <w:rPr>
          <w:rFonts w:ascii="Times New Roman" w:hAnsi="Times New Roman" w:cs="Times New Roman"/>
          <w:i/>
          <w:iCs/>
          <w:sz w:val="28"/>
          <w:szCs w:val="28"/>
          <w:lang w:val="kk-KZ"/>
        </w:rPr>
      </w:pPr>
      <w:r>
        <w:rPr>
          <w:rFonts w:ascii="Times New Roman" w:hAnsi="Times New Roman" w:cs="Times New Roman"/>
          <w:i/>
          <w:iCs/>
          <w:sz w:val="28"/>
          <w:szCs w:val="28"/>
        </w:rPr>
        <w:t xml:space="preserve">          </w:t>
      </w:r>
      <w:r w:rsidRPr="008A75AF">
        <w:rPr>
          <w:rFonts w:ascii="Times New Roman" w:hAnsi="Times New Roman" w:cs="Times New Roman"/>
          <w:i/>
          <w:iCs/>
          <w:sz w:val="28"/>
          <w:szCs w:val="28"/>
        </w:rPr>
        <w:t xml:space="preserve">Reverse Osmosis </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The process flow stream through a commercial demineralizer, incorporating two stacks in series dernineralized water, is shown in Figure 3. Several of the refinements required for continuous-flow operational systems are shown on this diagram, representing a two-stage demineralizer.</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Although ED is more complex than other membrane separation processes, the characteristic performance of a cell is, in principle, possible to calculate from </w:t>
      </w:r>
      <w:proofErr w:type="gramStart"/>
      <w:r w:rsidRPr="005F0F2B">
        <w:rPr>
          <w:rFonts w:ascii="Times New Roman" w:hAnsi="Times New Roman" w:cs="Times New Roman"/>
          <w:sz w:val="28"/>
          <w:szCs w:val="28"/>
        </w:rPr>
        <w:t>a knowledge</w:t>
      </w:r>
      <w:proofErr w:type="gramEnd"/>
      <w:r w:rsidRPr="005F0F2B">
        <w:rPr>
          <w:rFonts w:ascii="Times New Roman" w:hAnsi="Times New Roman" w:cs="Times New Roman"/>
          <w:sz w:val="28"/>
          <w:szCs w:val="28"/>
        </w:rPr>
        <w:t xml:space="preserve"> of ED cell geometry and the electrochemical properties of the membranes and the electrolyte solution.</w:t>
      </w:r>
    </w:p>
    <w:p w:rsidR="005F0F2B" w:rsidRP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 xml:space="preserve">Another kind of electrodialysis cell configuration, shown in Figure 4, is a multiple electrodialysis system consisting of ten-unit cells, in series rather than manifolded in parallel. The feed solution is introduced at four points: It enters at </w:t>
      </w:r>
      <w:r w:rsidRPr="005F0F2B">
        <w:rPr>
          <w:rFonts w:ascii="Times New Roman" w:hAnsi="Times New Roman" w:cs="Times New Roman"/>
          <w:sz w:val="28"/>
          <w:szCs w:val="28"/>
        </w:rPr>
        <w:lastRenderedPageBreak/>
        <w:t>both upper end points to sweep directly through both electrode chambers and is introduced into the working chambers near either end. The feed solution into the left side traverses depleted chambers and exits as depleted effluent at the right. The feed solution into the rightmost enriching cell flows in the other direction and exits as enriched effluent at the left side.</w:t>
      </w:r>
    </w:p>
    <w:p w:rsidR="005F0F2B" w:rsidRDefault="005F0F2B" w:rsidP="005F0F2B">
      <w:pPr>
        <w:ind w:firstLine="720"/>
        <w:jc w:val="both"/>
        <w:rPr>
          <w:rFonts w:ascii="Times New Roman" w:hAnsi="Times New Roman" w:cs="Times New Roman"/>
          <w:sz w:val="28"/>
          <w:szCs w:val="28"/>
        </w:rPr>
      </w:pPr>
      <w:r w:rsidRPr="005F0F2B">
        <w:rPr>
          <w:rFonts w:ascii="Times New Roman" w:hAnsi="Times New Roman" w:cs="Times New Roman"/>
          <w:sz w:val="28"/>
          <w:szCs w:val="28"/>
        </w:rPr>
        <w:t>In addition to the membrane stacks in electrodialysis units, various supporting equipment is essential. This includes pumps for circulation of concentrating and diluting flows; flushing streams for cathode and anode plates; injection systems for pH control; pressure concentration, pH alarms, and control systems and backflushing controls; feed strainers and filters; and grounding systems. Because of the high pH of the cathode stream, substances, such as carbonates and hydroxides could precipitate on the cathode surface and adjoining membrane; often sulfuric acid is injected to maintain the stream at pH of 2 or less. Also, recirculating concentrate requires an acid addition to yield a low pH for stability</w:t>
      </w:r>
    </w:p>
    <w:p w:rsidR="005C09C2" w:rsidRPr="00041C49" w:rsidRDefault="005C09C2" w:rsidP="005C09C2">
      <w:pPr>
        <w:pStyle w:val="af1"/>
        <w:rPr>
          <w:rFonts w:ascii="Times New Roman" w:hAnsi="Times New Roman" w:cs="Times New Roman"/>
        </w:rPr>
      </w:pPr>
      <w:r w:rsidRPr="00041C49">
        <w:rPr>
          <w:rFonts w:ascii="Times New Roman" w:hAnsi="Times New Roman" w:cs="Times New Roman"/>
        </w:rPr>
        <w:t>QUESTIONS FOR THINKING AND DISCUSSING</w:t>
      </w:r>
    </w:p>
    <w:p w:rsidR="005C09C2" w:rsidRPr="00041C49" w:rsidRDefault="005C09C2" w:rsidP="009C6833">
      <w:pPr>
        <w:pStyle w:val="af1"/>
        <w:numPr>
          <w:ilvl w:val="0"/>
          <w:numId w:val="10"/>
        </w:numPr>
        <w:rPr>
          <w:rFonts w:ascii="Times New Roman" w:hAnsi="Times New Roman" w:cs="Times New Roman"/>
        </w:rPr>
      </w:pPr>
      <w:r w:rsidRPr="00041C49">
        <w:rPr>
          <w:rFonts w:ascii="Times New Roman" w:hAnsi="Times New Roman" w:cs="Times New Roman"/>
        </w:rPr>
        <w:t>Can ozone be used as the only means of water disinfection in a treatment facility? If not, why not, and what other technologies do you think would work in combination with ozone treatment?</w:t>
      </w:r>
    </w:p>
    <w:p w:rsidR="005C09C2" w:rsidRPr="00041C49" w:rsidRDefault="005C09C2" w:rsidP="009C6833">
      <w:pPr>
        <w:pStyle w:val="af1"/>
        <w:numPr>
          <w:ilvl w:val="0"/>
          <w:numId w:val="10"/>
        </w:numPr>
        <w:rPr>
          <w:rFonts w:ascii="Times New Roman" w:hAnsi="Times New Roman" w:cs="Times New Roman"/>
        </w:rPr>
      </w:pPr>
      <w:r w:rsidRPr="00041C49">
        <w:rPr>
          <w:rFonts w:ascii="Times New Roman" w:hAnsi="Times New Roman" w:cs="Times New Roman"/>
        </w:rPr>
        <w:t>What is photoreactivation?</w:t>
      </w:r>
    </w:p>
    <w:p w:rsidR="005C09C2" w:rsidRPr="00041C49" w:rsidRDefault="005C09C2" w:rsidP="009C6833">
      <w:pPr>
        <w:pStyle w:val="af1"/>
        <w:numPr>
          <w:ilvl w:val="0"/>
          <w:numId w:val="10"/>
        </w:numPr>
        <w:rPr>
          <w:rFonts w:ascii="Times New Roman" w:hAnsi="Times New Roman" w:cs="Times New Roman"/>
        </w:rPr>
      </w:pPr>
      <w:r w:rsidRPr="00041C49">
        <w:rPr>
          <w:rFonts w:ascii="Times New Roman" w:hAnsi="Times New Roman" w:cs="Times New Roman"/>
        </w:rPr>
        <w:t>List the various types of plant forms that can enter into and contaminate drinking water.</w:t>
      </w:r>
    </w:p>
    <w:p w:rsidR="005C09C2" w:rsidRDefault="005C09C2" w:rsidP="005F0F2B">
      <w:pPr>
        <w:ind w:firstLine="720"/>
        <w:jc w:val="both"/>
        <w:rPr>
          <w:rFonts w:ascii="Times New Roman" w:hAnsi="Times New Roman" w:cs="Times New Roman"/>
          <w:sz w:val="28"/>
          <w:szCs w:val="28"/>
        </w:rPr>
      </w:pPr>
    </w:p>
    <w:p w:rsidR="009101BA" w:rsidRPr="005C09C2" w:rsidRDefault="009101BA" w:rsidP="005F0F2B">
      <w:pPr>
        <w:ind w:firstLine="720"/>
        <w:jc w:val="both"/>
        <w:rPr>
          <w:rFonts w:ascii="Times New Roman" w:hAnsi="Times New Roman" w:cs="Times New Roman"/>
          <w:sz w:val="28"/>
          <w:szCs w:val="28"/>
        </w:rPr>
      </w:pPr>
    </w:p>
    <w:p w:rsidR="005E2B57" w:rsidRDefault="005E2B57" w:rsidP="00FD025C">
      <w:pPr>
        <w:ind w:firstLine="720"/>
        <w:jc w:val="both"/>
        <w:rPr>
          <w:rFonts w:ascii="Times New Roman" w:hAnsi="Times New Roman" w:cs="Times New Roman"/>
          <w:b/>
          <w:bCs/>
          <w:sz w:val="28"/>
          <w:szCs w:val="28"/>
        </w:rPr>
      </w:pPr>
      <w:r w:rsidRPr="00AC4B13">
        <w:rPr>
          <w:rFonts w:ascii="Times New Roman" w:hAnsi="Times New Roman" w:cs="Times New Roman"/>
          <w:b/>
          <w:bCs/>
          <w:sz w:val="28"/>
          <w:szCs w:val="28"/>
        </w:rPr>
        <w:t>SEDIMENTATION, CLARIFICATION, FLOTATION, AND COALESCENCE</w:t>
      </w:r>
    </w:p>
    <w:p w:rsidR="009101BA" w:rsidRPr="00AC4B13" w:rsidRDefault="009101BA" w:rsidP="00FD025C">
      <w:pPr>
        <w:ind w:firstLine="720"/>
        <w:jc w:val="both"/>
        <w:rPr>
          <w:rFonts w:ascii="Times New Roman" w:hAnsi="Times New Roman" w:cs="Times New Roman"/>
          <w:b/>
          <w:bCs/>
          <w:sz w:val="28"/>
          <w:szCs w:val="28"/>
        </w:rPr>
      </w:pPr>
    </w:p>
    <w:p w:rsidR="008A75AF" w:rsidRPr="008A75AF" w:rsidRDefault="008A75AF" w:rsidP="009C6833">
      <w:pPr>
        <w:numPr>
          <w:ilvl w:val="0"/>
          <w:numId w:val="28"/>
        </w:numPr>
        <w:jc w:val="both"/>
        <w:rPr>
          <w:rFonts w:ascii="Times New Roman" w:hAnsi="Times New Roman" w:cs="Times New Roman"/>
          <w:i/>
          <w:iCs/>
          <w:sz w:val="28"/>
          <w:szCs w:val="28"/>
          <w:lang w:val="kk-KZ"/>
        </w:rPr>
      </w:pPr>
      <w:r w:rsidRPr="008A75AF">
        <w:rPr>
          <w:rFonts w:ascii="Times New Roman" w:hAnsi="Times New Roman" w:cs="Times New Roman"/>
          <w:i/>
          <w:iCs/>
          <w:sz w:val="28"/>
          <w:szCs w:val="28"/>
        </w:rPr>
        <w:t xml:space="preserve">Sedimentation involves </w:t>
      </w:r>
    </w:p>
    <w:p w:rsidR="005F3B88" w:rsidRPr="008A75AF" w:rsidRDefault="005F3B88" w:rsidP="009C6833">
      <w:pPr>
        <w:numPr>
          <w:ilvl w:val="0"/>
          <w:numId w:val="28"/>
        </w:numPr>
        <w:jc w:val="both"/>
        <w:rPr>
          <w:rFonts w:ascii="Times New Roman" w:hAnsi="Times New Roman" w:cs="Times New Roman"/>
          <w:i/>
          <w:iCs/>
          <w:sz w:val="28"/>
          <w:szCs w:val="28"/>
          <w:lang w:val="kk-KZ"/>
        </w:rPr>
      </w:pPr>
      <w:r w:rsidRPr="008A75AF">
        <w:rPr>
          <w:rFonts w:ascii="Times New Roman" w:hAnsi="Times New Roman" w:cs="Times New Roman"/>
          <w:i/>
          <w:iCs/>
          <w:sz w:val="28"/>
          <w:szCs w:val="28"/>
        </w:rPr>
        <w:t xml:space="preserve">Gravity Thickening </w:t>
      </w:r>
    </w:p>
    <w:p w:rsidR="005F3B88" w:rsidRPr="008A75AF" w:rsidRDefault="005F3B88" w:rsidP="009C6833">
      <w:pPr>
        <w:numPr>
          <w:ilvl w:val="0"/>
          <w:numId w:val="28"/>
        </w:numPr>
        <w:jc w:val="both"/>
        <w:rPr>
          <w:rFonts w:ascii="Times New Roman" w:hAnsi="Times New Roman" w:cs="Times New Roman"/>
          <w:i/>
          <w:iCs/>
          <w:sz w:val="28"/>
          <w:szCs w:val="28"/>
          <w:lang w:val="kk-KZ"/>
        </w:rPr>
      </w:pPr>
      <w:r w:rsidRPr="008A75AF">
        <w:rPr>
          <w:rFonts w:ascii="Times New Roman" w:hAnsi="Times New Roman" w:cs="Times New Roman"/>
          <w:i/>
          <w:iCs/>
          <w:sz w:val="28"/>
          <w:szCs w:val="28"/>
        </w:rPr>
        <w:t xml:space="preserve">Flotation Thickening </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Suspended solid matter in a fluid media represents a heterogeneous system that from a very general viewpoint is a fundamental fluid dynamics problem that virtually all chemical engineers are familiar with. It is so frequently encountered in numerous industry applications that considering only the problem of water treatment simply does not do the subject justice. Having noted this, the principles covered in this chapter are general enough to be applied to the class of unit operations aimed at separation, handling or processing heterogeneous or two-phase systems, including those dealing with gas-solid suspensions.</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 xml:space="preserve">Examples of operations where heterogeneous systems are encountered include sedimentation of dust in chambers and cyclone separators, separation of suspensions in settlers, separation of liquid mixtures by settling and centrifuging, hydraulic and pneumatic transport, hydraulic and air classification, flotation, mixing by air and others. Each of these operations involves the simultaneous flow of gas and solid, or liquid and solid phases. The widespread and successful application of these hydrodynamic processes to a large number of industrial problems is based on our ability to take advantage of one or a combination of five primary forces: gravity, centrifugal, buoyancy, pressure, and electric. Gravity is the </w:t>
      </w:r>
      <w:r w:rsidRPr="00195A4D">
        <w:rPr>
          <w:rFonts w:ascii="Times New Roman" w:hAnsi="Times New Roman" w:cs="Times New Roman"/>
          <w:sz w:val="28"/>
          <w:szCs w:val="28"/>
        </w:rPr>
        <w:lastRenderedPageBreak/>
        <w:t>controlling force for separations achieved in settlers; centrifugal force is applied to cyclone separators, dryers and mixers; and pressure forces are employed in sprayers, pneumatic transport and filters. Electrical forces are employed in special techniques, such as precipitators. Buoyancy is related to gravity and takes advantage of density differences.</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 xml:space="preserve">You will find a very fundamental and in part, empirical approach to this subject. My experience has been for the majority of water treatment assignments over the </w:t>
      </w:r>
      <w:bookmarkStart w:id="20" w:name="bookmark151"/>
      <w:r w:rsidRPr="00195A4D">
        <w:rPr>
          <w:rFonts w:ascii="Times New Roman" w:hAnsi="Times New Roman" w:cs="Times New Roman"/>
          <w:sz w:val="28"/>
          <w:szCs w:val="28"/>
        </w:rPr>
        <w:t>years that a “first-principles” approach to sedimentation and clarification techniques generally tends to get the job done. The techniques and methodologies covered have been around for quite a few years and still seem to be applied with a high degree of success in preliminary and even detailed equipment sizing and overall plant designs. There are certainly more sophisticate methods, including numerical modeling that enables one to develop reliable designs, but our intent is to look at rather simple calculation methods that enable us to define the type of equipment needed and just enough information so that we can work with an equipment vendor to define the hardware in greater detail. More sophisticated approaches will be</w:t>
      </w:r>
      <w:bookmarkEnd w:id="20"/>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At the end of this chapter you will find three annexes. The first of these is a list of nomenclature used in the chapter. There are quite a few equations that are summarized in the foregoing sections and hence, you will need to refer to this annex from time to time. The second annex is a list of recommended references that I have relied on over the years, plus some interesting Web sites for you to visit for vendor-specific information as well as supplemental design and equipment sizing information. The final annex is the Questions for Thinking and Discussing. Remember to refer to the Glossary at the end of the book if you run across any</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During the motion of viscous flow over a stationary body or particle, certain resistances arise. To overcome these resistances or drag and to provide more uniform fluid motion, a certain amount of energy must be expended. The developed drag force and, consequently, the energy required to overcome it, depend largely on the flow regime and the geometry of the solid body. Laminar flow conditions prevail when the fluid medium flows at low velocities over small bodies or when the fluid has a relatively high viscosity. Flow around a single body is illustrated in Figure 1. As shown in Figure 1(A), when the flow is laminar a well-defined boundary layer forms around the body and the fluid conforms to a streamline motion. The loss of energy in this situation is due primarily to fiction drag. If the fluid's average velocity is increased sufficiently, the influence of inertia forces becomes more pronounced and the flow becomes turbulent.</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Under the influence of inertia forces, the fluid adheres to the particle surface, forming only a very thin boundary layer and generating a turbulent wake, as shown in Figure 1(B). The pressure in the wake is significantly lower than that at the stagnation point on the leeward side of the particle. Hence, a net force, referred to as the pressure drag, acts in a direction opposite to that of the fluid's motion. Above a certain value of the Reynolds number, the role of pressure drag becomes</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 xml:space="preserve">We shall begin discussions by analyzing a dilute system that can be described as a low concentration of noninteracting solid particles carried along by </w:t>
      </w:r>
      <w:r w:rsidRPr="00195A4D">
        <w:rPr>
          <w:rFonts w:ascii="Times New Roman" w:hAnsi="Times New Roman" w:cs="Times New Roman"/>
          <w:sz w:val="28"/>
          <w:szCs w:val="28"/>
        </w:rPr>
        <w:lastRenderedPageBreak/>
        <w:t xml:space="preserve">a water stream. In this system, the solid particles are far enough removed from one another to be treated as individual entities. That is, each particle individually contributes to the overall character of the flow. Let’s consider the dynamics of motion of a solid spherical particle immersed in water independent of the nature of the forces responsible for its displacement. A moving particle immersed in water experiences forces caused by the action of the fluid. These forces are the same regardless whether the particle is moving through the fluid or whether the water is moving over the particle's surface. For our purposes, assume the water to be in motion with respect to a stationary sphere. The fluid shock acting against the sphere's surface produces an additional pressure, P. This pressure is responsible for a force, R (called the drag force) acting in the direction of fluid motion. Now consider an infinitesimal element of the sphere’s surface, </w:t>
      </w:r>
      <w:proofErr w:type="gramStart"/>
      <w:r w:rsidRPr="00195A4D">
        <w:rPr>
          <w:rFonts w:ascii="Times New Roman" w:hAnsi="Times New Roman" w:cs="Times New Roman"/>
          <w:sz w:val="28"/>
          <w:szCs w:val="28"/>
        </w:rPr>
        <w:t>dF</w:t>
      </w:r>
      <w:proofErr w:type="gramEnd"/>
      <w:r w:rsidRPr="00195A4D">
        <w:rPr>
          <w:rFonts w:ascii="Times New Roman" w:hAnsi="Times New Roman" w:cs="Times New Roman"/>
          <w:sz w:val="28"/>
          <w:szCs w:val="28"/>
        </w:rPr>
        <w:t xml:space="preserve">, having a slope, a, with respect to the normal of the direction of motion (Figure 2). The pressure resulting from the shock of the fluid against the element produces a force, </w:t>
      </w:r>
      <w:proofErr w:type="gramStart"/>
      <w:r w:rsidRPr="00195A4D">
        <w:rPr>
          <w:rFonts w:ascii="Times New Roman" w:hAnsi="Times New Roman" w:cs="Times New Roman"/>
          <w:sz w:val="28"/>
          <w:szCs w:val="28"/>
        </w:rPr>
        <w:t>dF</w:t>
      </w:r>
      <w:proofErr w:type="gramEnd"/>
      <w:r w:rsidRPr="00195A4D">
        <w:rPr>
          <w:rFonts w:ascii="Times New Roman" w:hAnsi="Times New Roman" w:cs="Times New Roman"/>
          <w:sz w:val="28"/>
          <w:szCs w:val="28"/>
        </w:rPr>
        <w:t xml:space="preserve">, in the normal direction. This force is equal to the product of the surface area and the additional pressure, PdF0. The component acting in the direction of flow, </w:t>
      </w:r>
      <w:proofErr w:type="gramStart"/>
      <w:r w:rsidRPr="00195A4D">
        <w:rPr>
          <w:rFonts w:ascii="Times New Roman" w:hAnsi="Times New Roman" w:cs="Times New Roman"/>
          <w:sz w:val="28"/>
          <w:szCs w:val="28"/>
        </w:rPr>
        <w:t>dR,</w:t>
      </w:r>
      <w:proofErr w:type="gramEnd"/>
      <w:r w:rsidRPr="00195A4D">
        <w:rPr>
          <w:rFonts w:ascii="Times New Roman" w:hAnsi="Times New Roman" w:cs="Times New Roman"/>
          <w:sz w:val="28"/>
          <w:szCs w:val="28"/>
        </w:rPr>
        <w:t xml:space="preserve"> is equal to dxcosa. Hence, the force, R, acting over the entire surface of the sphere will be:</w:t>
      </w:r>
    </w:p>
    <w:p w:rsidR="005E2B57" w:rsidRPr="00195A4D" w:rsidRDefault="005E2B57" w:rsidP="005E2B57">
      <w:pPr>
        <w:ind w:firstLine="720"/>
        <w:jc w:val="both"/>
        <w:rPr>
          <w:rFonts w:ascii="Times New Roman" w:hAnsi="Times New Roman" w:cs="Times New Roman"/>
          <w:sz w:val="28"/>
          <w:szCs w:val="28"/>
        </w:rPr>
      </w:pPr>
      <w:proofErr w:type="gramStart"/>
      <w:r w:rsidRPr="00195A4D">
        <w:rPr>
          <w:rFonts w:ascii="Times New Roman" w:hAnsi="Times New Roman" w:cs="Times New Roman"/>
          <w:sz w:val="28"/>
          <w:szCs w:val="28"/>
        </w:rPr>
        <w:t>The minimum size particles that do not follow Stokes’ law occurs at Re ~ 10'4.</w:t>
      </w:r>
      <w:proofErr w:type="gramEnd"/>
      <w:r w:rsidRPr="00195A4D">
        <w:rPr>
          <w:rFonts w:ascii="Times New Roman" w:hAnsi="Times New Roman" w:cs="Times New Roman"/>
          <w:sz w:val="28"/>
          <w:szCs w:val="28"/>
        </w:rPr>
        <w:t xml:space="preserve"> The settling velocity in this lower bound regime is less than that computed by the Stokes’ Law expression, and generally an empirical correction factor is applied to account for particle slippage. This correction factor, which is applied by dividing the value into the Stokes’ law calculated us value is: K= 1 + A A</w:t>
      </w:r>
      <w:proofErr w:type="gramStart"/>
      <w:r w:rsidRPr="00195A4D">
        <w:rPr>
          <w:rFonts w:ascii="Times New Roman" w:hAnsi="Times New Roman" w:cs="Times New Roman"/>
          <w:sz w:val="28"/>
          <w:szCs w:val="28"/>
        </w:rPr>
        <w:t>./</w:t>
      </w:r>
      <w:proofErr w:type="gramEnd"/>
      <w:r w:rsidRPr="00195A4D">
        <w:rPr>
          <w:rFonts w:ascii="Times New Roman" w:hAnsi="Times New Roman" w:cs="Times New Roman"/>
          <w:sz w:val="28"/>
          <w:szCs w:val="28"/>
        </w:rPr>
        <w:t>d, where X is defined as the mean free path of a fluid molecule, and constant A varies between 1.4 and 20 (as a point of reference, A = 1.5 for air). But this is a correction factor we will likely never have to consider in a conventional water treatment assignment. A more convenient set of expressions for settling velocity can be derived by expressing the three settling regime equations in terms of dimensionless groups. We won’t get tangled in the derivations, although they are reasonably straightforward, but rather just list these expressions. The relationships are based on the dimensionless Archimedes number, defined as:</w:t>
      </w:r>
    </w:p>
    <w:p w:rsidR="005E2B57" w:rsidRPr="00195A4D" w:rsidRDefault="005E2B57" w:rsidP="005E2B57">
      <w:pPr>
        <w:ind w:firstLine="720"/>
        <w:jc w:val="both"/>
        <w:rPr>
          <w:rFonts w:ascii="Times New Roman" w:hAnsi="Times New Roman" w:cs="Times New Roman"/>
          <w:sz w:val="28"/>
          <w:szCs w:val="28"/>
        </w:rPr>
      </w:pPr>
      <w:r w:rsidRPr="008A75AF">
        <w:rPr>
          <w:rFonts w:ascii="Times New Roman" w:hAnsi="Times New Roman" w:cs="Times New Roman"/>
          <w:i/>
          <w:iCs/>
          <w:sz w:val="28"/>
          <w:szCs w:val="28"/>
        </w:rPr>
        <w:t>Sedimentation involves</w:t>
      </w:r>
      <w:r w:rsidRPr="00195A4D">
        <w:rPr>
          <w:rFonts w:ascii="Times New Roman" w:hAnsi="Times New Roman" w:cs="Times New Roman"/>
          <w:sz w:val="28"/>
          <w:szCs w:val="28"/>
        </w:rPr>
        <w:t xml:space="preserve"> the removal of suspended solid particles from a liquid stream by gravitational settling. This unit operation is divided into thickening, i.e.</w:t>
      </w:r>
      <w:proofErr w:type="gramStart"/>
      <w:r w:rsidRPr="00195A4D">
        <w:rPr>
          <w:rFonts w:ascii="Times New Roman" w:hAnsi="Times New Roman" w:cs="Times New Roman"/>
          <w:sz w:val="28"/>
          <w:szCs w:val="28"/>
        </w:rPr>
        <w:t>,Thickeners</w:t>
      </w:r>
      <w:proofErr w:type="gramEnd"/>
      <w:r w:rsidRPr="00195A4D">
        <w:rPr>
          <w:rFonts w:ascii="Times New Roman" w:hAnsi="Times New Roman" w:cs="Times New Roman"/>
          <w:sz w:val="28"/>
          <w:szCs w:val="28"/>
        </w:rPr>
        <w:t xml:space="preserve"> can be operated in a countercurrent fashion. Applications are aimed at the recovery of soluble material from settleable solids by means of continuous countercurrent decantation (CCD). The basic scheme involves streams of liquid and thickened sludge moving counter- currently through a series of thickeners. The thickened stream of solids</w:t>
      </w:r>
      <w:r w:rsidRPr="00195A4D">
        <w:rPr>
          <w:rFonts w:ascii="Times New Roman" w:hAnsi="Times New Roman" w:cs="Times New Roman"/>
          <w:sz w:val="28"/>
          <w:szCs w:val="28"/>
        </w:rPr>
        <w:tab/>
        <w:t>is</w:t>
      </w:r>
      <w:r w:rsidRPr="00195A4D">
        <w:rPr>
          <w:rFonts w:ascii="Times New Roman" w:hAnsi="Times New Roman" w:cs="Times New Roman"/>
          <w:sz w:val="28"/>
          <w:szCs w:val="28"/>
        </w:rPr>
        <w:tab/>
        <w:t>depleted</w:t>
      </w:r>
      <w:r w:rsidRPr="00195A4D">
        <w:rPr>
          <w:rFonts w:ascii="Times New Roman" w:hAnsi="Times New Roman" w:cs="Times New Roman"/>
          <w:sz w:val="28"/>
          <w:szCs w:val="28"/>
        </w:rPr>
        <w:tab/>
        <w:t>of</w:t>
      </w:r>
      <w:r w:rsidRPr="00195A4D">
        <w:rPr>
          <w:rFonts w:ascii="Times New Roman" w:hAnsi="Times New Roman" w:cs="Times New Roman"/>
          <w:sz w:val="28"/>
          <w:szCs w:val="28"/>
        </w:rPr>
        <w:tab/>
        <w:t>soluble</w:t>
      </w:r>
    </w:p>
    <w:p w:rsidR="005E2B57" w:rsidRPr="00195A4D" w:rsidRDefault="005E2B57" w:rsidP="005E2B57">
      <w:pPr>
        <w:ind w:firstLine="720"/>
        <w:jc w:val="both"/>
        <w:rPr>
          <w:rFonts w:ascii="Times New Roman" w:hAnsi="Times New Roman" w:cs="Times New Roman"/>
          <w:sz w:val="28"/>
          <w:szCs w:val="28"/>
        </w:rPr>
      </w:pPr>
      <w:proofErr w:type="gramStart"/>
      <w:r w:rsidRPr="00195A4D">
        <w:rPr>
          <w:rFonts w:ascii="Times New Roman" w:hAnsi="Times New Roman" w:cs="Times New Roman"/>
          <w:sz w:val="28"/>
          <w:szCs w:val="28"/>
        </w:rPr>
        <w:t>constituents</w:t>
      </w:r>
      <w:proofErr w:type="gramEnd"/>
      <w:r w:rsidRPr="00195A4D">
        <w:rPr>
          <w:rFonts w:ascii="Times New Roman" w:hAnsi="Times New Roman" w:cs="Times New Roman"/>
          <w:sz w:val="28"/>
          <w:szCs w:val="28"/>
        </w:rPr>
        <w:t xml:space="preserve"> as the solution becomes enriched. In each successive stage, </w:t>
      </w:r>
      <w:proofErr w:type="gramStart"/>
      <w:r w:rsidRPr="00195A4D">
        <w:rPr>
          <w:rFonts w:ascii="Times New Roman" w:hAnsi="Times New Roman" w:cs="Times New Roman"/>
          <w:sz w:val="28"/>
          <w:szCs w:val="28"/>
        </w:rPr>
        <w:t>a concentrated</w:t>
      </w:r>
      <w:proofErr w:type="gramEnd"/>
      <w:r w:rsidRPr="00195A4D">
        <w:rPr>
          <w:rFonts w:ascii="Times New Roman" w:hAnsi="Times New Roman" w:cs="Times New Roman"/>
          <w:sz w:val="28"/>
          <w:szCs w:val="28"/>
        </w:rPr>
        <w:t xml:space="preserve"> slurry is mixed with a solution containing fewer solubles than the liquor in the slurry and then is fed to the thickener. As the solids settle, they are removed and sent to the next stage. The overflow solution, which is richer in the soluble constituent, is sent to the preceding unit. Solids are charged to the system in the first-stage thickener, from which the final concentrated solution is </w:t>
      </w:r>
      <w:r w:rsidRPr="00195A4D">
        <w:rPr>
          <w:rFonts w:ascii="Times New Roman" w:hAnsi="Times New Roman" w:cs="Times New Roman"/>
          <w:sz w:val="28"/>
          <w:szCs w:val="28"/>
        </w:rPr>
        <w:lastRenderedPageBreak/>
        <w:t>withdrawn. Wash water or virgin solution is added to the last stage, and washed solids are removed in the underflow of this thickener. The flow scheme for a three-stage CCD system is illustrated in Figure 5. The feed stream, F, is mixed with overflow 02 (from thickener 2) before entering stage 1. The overflow of concentrated solution, O</w:t>
      </w:r>
      <w:proofErr w:type="gramStart"/>
      <w:r w:rsidRPr="00195A4D">
        <w:rPr>
          <w:rFonts w:ascii="Times New Roman" w:hAnsi="Times New Roman" w:cs="Times New Roman"/>
          <w:sz w:val="28"/>
          <w:szCs w:val="28"/>
        </w:rPr>
        <w:t>,,</w:t>
      </w:r>
      <w:proofErr w:type="gramEnd"/>
      <w:r w:rsidRPr="00195A4D">
        <w:rPr>
          <w:rFonts w:ascii="Times New Roman" w:hAnsi="Times New Roman" w:cs="Times New Roman"/>
          <w:sz w:val="28"/>
          <w:szCs w:val="28"/>
        </w:rPr>
        <w:t xml:space="preserve"> is withdrawn from the first stage. The underflow from the first stage, U</w:t>
      </w:r>
      <w:proofErr w:type="gramStart"/>
      <w:r w:rsidRPr="00195A4D">
        <w:rPr>
          <w:rFonts w:ascii="Times New Roman" w:hAnsi="Times New Roman" w:cs="Times New Roman"/>
          <w:sz w:val="28"/>
          <w:szCs w:val="28"/>
        </w:rPr>
        <w:t>,,</w:t>
      </w:r>
      <w:proofErr w:type="gramEnd"/>
      <w:r w:rsidRPr="00195A4D">
        <w:rPr>
          <w:rFonts w:ascii="Times New Roman" w:hAnsi="Times New Roman" w:cs="Times New Roman"/>
          <w:sz w:val="28"/>
          <w:szCs w:val="28"/>
        </w:rPr>
        <w:t xml:space="preserve"> is mixed with third-stage overflow, 03, and fed to the second stage. Similarly, the second-stage underflow, U2, is mixed with wash water and fed to thickener 3.</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 xml:space="preserve">Most cylindrical units are equipped with peripheral weirs; however, some designs include radial weirs to reduce the exit velocity and minimize weir loadings. The unit shown also is equipped with adjustable rotating overflow pipes. Although there are a fixed number of </w:t>
      </w:r>
      <w:smartTag w:uri="urn:schemas-microsoft-com:office:smarttags" w:element="place">
        <w:smartTag w:uri="urn:schemas-microsoft-com:office:smarttags" w:element="country-region">
          <w:r w:rsidRPr="00195A4D">
            <w:rPr>
              <w:rFonts w:ascii="Times New Roman" w:hAnsi="Times New Roman" w:cs="Times New Roman"/>
              <w:sz w:val="28"/>
              <w:szCs w:val="28"/>
            </w:rPr>
            <w:t>U.S.</w:t>
          </w:r>
        </w:smartTag>
      </w:smartTag>
      <w:r w:rsidRPr="00195A4D">
        <w:rPr>
          <w:rFonts w:ascii="Times New Roman" w:hAnsi="Times New Roman" w:cs="Times New Roman"/>
          <w:sz w:val="28"/>
          <w:szCs w:val="28"/>
        </w:rPr>
        <w:t xml:space="preserve"> suppliers for these unique machines, the designs are pretty much universal, and nearly identical configurations and comparable operating parameters can be found throughout the world. The photograph shown in Figure 7 is an installation at a Russian municipal wastewater treatment plant, where in fact, the operation was a part of an auto-making facility that also provided sanitary and drinking water supplies to the city. Figure 8 shows a battery of rectangular settling</w:t>
      </w:r>
    </w:p>
    <w:p w:rsidR="005E2B57" w:rsidRPr="00195A4D" w:rsidRDefault="005E2B57" w:rsidP="005E2B57">
      <w:pPr>
        <w:ind w:firstLine="720"/>
        <w:jc w:val="both"/>
        <w:rPr>
          <w:rFonts w:ascii="Times New Roman" w:hAnsi="Times New Roman" w:cs="Times New Roman"/>
          <w:sz w:val="28"/>
          <w:szCs w:val="28"/>
        </w:rPr>
      </w:pPr>
      <w:r w:rsidRPr="008A75AF">
        <w:rPr>
          <w:rFonts w:ascii="Times New Roman" w:hAnsi="Times New Roman" w:cs="Times New Roman"/>
          <w:i/>
          <w:iCs/>
          <w:sz w:val="28"/>
          <w:szCs w:val="28"/>
        </w:rPr>
        <w:t>Gravity Thickening</w:t>
      </w:r>
      <w:r w:rsidRPr="00195A4D">
        <w:rPr>
          <w:rFonts w:ascii="Times New Roman" w:hAnsi="Times New Roman" w:cs="Times New Roman"/>
          <w:sz w:val="28"/>
          <w:szCs w:val="28"/>
        </w:rPr>
        <w:t xml:space="preserve"> - This process involves the concentration of thin sludges to more dense sludge in special circular tanks designed for this purpose. Its use is largely restricted to the watery excess sludge from the activated sludge </w:t>
      </w:r>
      <w:proofErr w:type="gramStart"/>
      <w:r w:rsidRPr="00195A4D">
        <w:rPr>
          <w:rFonts w:ascii="Times New Roman" w:hAnsi="Times New Roman" w:cs="Times New Roman"/>
          <w:sz w:val="28"/>
          <w:szCs w:val="28"/>
        </w:rPr>
        <w:t>process,</w:t>
      </w:r>
      <w:proofErr w:type="gramEnd"/>
      <w:r w:rsidRPr="00195A4D">
        <w:rPr>
          <w:rFonts w:ascii="Times New Roman" w:hAnsi="Times New Roman" w:cs="Times New Roman"/>
          <w:sz w:val="28"/>
          <w:szCs w:val="28"/>
        </w:rPr>
        <w:t xml:space="preserve"> and in large plants of this type where the sludge is sent direct to digesters instead of to the primary tanks. It may also be used to concentrate sludge to primary tanks or a mixture of primary and excess activated sludge prior to high rate digestion. The thickening tank is equipped with slowly moving vertical paddles built like a picket fence. Sludge is usually pumped continuously from the settling tank to the thickener which has a low overflow rate so that the excess water overflows and the sludge solids concentrate in the bottom. A blanket of sludge is maintained by controlled removal which may be continuous at a low rate. </w:t>
      </w:r>
      <w:proofErr w:type="gramStart"/>
      <w:r w:rsidRPr="00195A4D">
        <w:rPr>
          <w:rFonts w:ascii="Times New Roman" w:hAnsi="Times New Roman" w:cs="Times New Roman"/>
          <w:sz w:val="28"/>
          <w:szCs w:val="28"/>
        </w:rPr>
        <w:t>A sludge</w:t>
      </w:r>
      <w:proofErr w:type="gramEnd"/>
      <w:r w:rsidRPr="00195A4D">
        <w:rPr>
          <w:rFonts w:ascii="Times New Roman" w:hAnsi="Times New Roman" w:cs="Times New Roman"/>
          <w:sz w:val="28"/>
          <w:szCs w:val="28"/>
        </w:rPr>
        <w:t xml:space="preserve"> with a solids content of ten percent or more can be produced by this method. This means that with an original sludge of two percent, about four-fifths of the water has been removed, and one of the objectives in sludge treatment has been attained.</w:t>
      </w:r>
    </w:p>
    <w:p w:rsidR="005E2B57" w:rsidRPr="00195A4D" w:rsidRDefault="005E2B57" w:rsidP="005E2B57">
      <w:pPr>
        <w:ind w:firstLine="720"/>
        <w:jc w:val="both"/>
        <w:rPr>
          <w:rFonts w:ascii="Times New Roman" w:hAnsi="Times New Roman" w:cs="Times New Roman"/>
          <w:sz w:val="28"/>
          <w:szCs w:val="28"/>
        </w:rPr>
      </w:pPr>
      <w:r w:rsidRPr="008A75AF">
        <w:rPr>
          <w:rFonts w:ascii="Times New Roman" w:hAnsi="Times New Roman" w:cs="Times New Roman"/>
          <w:i/>
          <w:iCs/>
          <w:sz w:val="28"/>
          <w:szCs w:val="28"/>
        </w:rPr>
        <w:t>Flotation Thickening</w:t>
      </w:r>
      <w:r w:rsidRPr="00195A4D">
        <w:rPr>
          <w:rFonts w:ascii="Times New Roman" w:hAnsi="Times New Roman" w:cs="Times New Roman"/>
          <w:sz w:val="28"/>
          <w:szCs w:val="28"/>
        </w:rPr>
        <w:t xml:space="preserve"> - Flotation thickening units are becoming increasingly popular at sewage treatment plants, especially for handling waste activated sludges. With activated sludge they have the advantage over gravity thickening tanks of offering higher solids concentrations and lower initial cost for the equipment. Dissolved Air-Pressure Flotation - Although we haven’t covered this per se, we should mention that the objective of flotation-thickening is to attach a minute air bubble to suspended solids and cause the solids to separate from the water in an upward direction. This is due to the fact that the solid particles have a specific gravity lower than water when the bubble is attached. Dissolved air flotation depends on the formation of small diameter bubbles resulting from air released from solution after being pressurized to 40 to 60 psi. Since the solubility of air increases with pressure, substantial quantities of air can be dissolved. In current flotation practice, two general approaches to pressurization are used: (1) air </w:t>
      </w:r>
      <w:r w:rsidRPr="00195A4D">
        <w:rPr>
          <w:rFonts w:ascii="Times New Roman" w:hAnsi="Times New Roman" w:cs="Times New Roman"/>
          <w:sz w:val="28"/>
          <w:szCs w:val="28"/>
        </w:rPr>
        <w:lastRenderedPageBreak/>
        <w:t>charging and pressurization of recycled clarified effluent or some other flow used for dilution, with subsequent addition to the feed sludge; and (2) air charging and pressurization of the combined dilution liquid and feed sludge. Air in excess of the decreased solubility, resulting from the release of the pressurized flow into a chamber at near atmospheric pressures, comes out of of solution to form the minute air bubbles. Sludge solids are floated by the air bubbles that attach themselves to and are enmeshed in the floe particles. The degree of adhesion depends on surface properties of the solids. When released into the separation area of the thickening tank, the buoyed solids rise under hindered conditions analogous to those in gravity settling and can be called hindered separation or flotation. The upward moving particles form a sludge blanket on the surface of the flotation thickener. Parameters: The primary variables for flotation thickening are: (1) pressure, (2) recycle ratio, (3) feed solids concentration, (4) detention period, (5) air-to-solids ratio, (6) type and quality of sludge, (7) solids and hydraulic loading rates, and (8) use of chemical aids. Similar to gravity sedimentation, the type and quality of sludge to be floated affects the unit performance. Flotation thickening is most applicable to activated sludges but higher float concentrations can be achieved by combining primary with activated sludge. Equal or greater concentrations may be achieved by combining sludges in gravity thickening units.</w:t>
      </w:r>
    </w:p>
    <w:p w:rsidR="005E2B57" w:rsidRPr="00195A4D" w:rsidRDefault="005E2B57" w:rsidP="005E2B57">
      <w:pPr>
        <w:ind w:firstLine="720"/>
        <w:jc w:val="both"/>
        <w:rPr>
          <w:rFonts w:ascii="Times New Roman" w:hAnsi="Times New Roman" w:cs="Times New Roman"/>
          <w:sz w:val="28"/>
          <w:szCs w:val="28"/>
        </w:rPr>
      </w:pPr>
      <w:r w:rsidRPr="00195A4D">
        <w:rPr>
          <w:rFonts w:ascii="Times New Roman" w:hAnsi="Times New Roman" w:cs="Times New Roman"/>
          <w:sz w:val="28"/>
          <w:szCs w:val="28"/>
        </w:rPr>
        <w:t>Centrifugation - Centrifugation has been demonstrated to be capable of thickening a variety of wastewater sludges. Centrifuges are a compact, simple, flexible, self</w:t>
      </w:r>
      <w:r w:rsidRPr="00195A4D">
        <w:rPr>
          <w:rFonts w:ascii="Times New Roman" w:hAnsi="Times New Roman" w:cs="Times New Roman"/>
          <w:sz w:val="28"/>
          <w:szCs w:val="28"/>
        </w:rPr>
        <w:softHyphen/>
        <w:t>contained unit, and the capital cost is relatively low. They have the disadvantages of high maintenance and power costs and often a poor, solids-capture efficiency if chemicals are not used.</w:t>
      </w:r>
    </w:p>
    <w:p w:rsidR="005E2B57" w:rsidRDefault="005E2B57" w:rsidP="005F0F2B">
      <w:pPr>
        <w:ind w:firstLine="720"/>
        <w:jc w:val="both"/>
        <w:rPr>
          <w:rFonts w:ascii="Times New Roman" w:hAnsi="Times New Roman" w:cs="Times New Roman"/>
          <w:sz w:val="28"/>
          <w:szCs w:val="28"/>
        </w:rPr>
      </w:pPr>
    </w:p>
    <w:p w:rsidR="005C09C2" w:rsidRPr="00041C49" w:rsidRDefault="005C09C2" w:rsidP="005C09C2">
      <w:pPr>
        <w:pStyle w:val="af1"/>
        <w:rPr>
          <w:rFonts w:ascii="Times New Roman" w:hAnsi="Times New Roman" w:cs="Times New Roman"/>
        </w:rPr>
      </w:pPr>
      <w:r w:rsidRPr="00041C49">
        <w:rPr>
          <w:rFonts w:ascii="Times New Roman" w:hAnsi="Times New Roman" w:cs="Times New Roman"/>
        </w:rPr>
        <w:t>QUESTIONS FOR THINKING AND DISCUSSING</w:t>
      </w:r>
    </w:p>
    <w:p w:rsidR="005C09C2" w:rsidRPr="00041C49" w:rsidRDefault="005C09C2" w:rsidP="009C6833">
      <w:pPr>
        <w:pStyle w:val="af1"/>
        <w:numPr>
          <w:ilvl w:val="0"/>
          <w:numId w:val="11"/>
        </w:numPr>
        <w:rPr>
          <w:rFonts w:ascii="Times New Roman" w:hAnsi="Times New Roman" w:cs="Times New Roman"/>
        </w:rPr>
      </w:pPr>
      <w:r w:rsidRPr="00041C49">
        <w:rPr>
          <w:rFonts w:ascii="Times New Roman" w:hAnsi="Times New Roman" w:cs="Times New Roman"/>
        </w:rPr>
        <w:t>Make a list of the animal forma that we are most concerned with in contaminating drinking water sources.</w:t>
      </w:r>
    </w:p>
    <w:p w:rsidR="005C09C2" w:rsidRPr="00041C49" w:rsidRDefault="005C09C2" w:rsidP="009C6833">
      <w:pPr>
        <w:pStyle w:val="af1"/>
        <w:numPr>
          <w:ilvl w:val="0"/>
          <w:numId w:val="11"/>
        </w:numPr>
        <w:rPr>
          <w:rFonts w:ascii="Times New Roman" w:hAnsi="Times New Roman" w:cs="Times New Roman"/>
        </w:rPr>
      </w:pPr>
      <w:r w:rsidRPr="00041C49">
        <w:rPr>
          <w:rFonts w:ascii="Times New Roman" w:hAnsi="Times New Roman" w:cs="Times New Roman"/>
        </w:rPr>
        <w:t xml:space="preserve">What makes </w:t>
      </w:r>
      <w:proofErr w:type="gramStart"/>
      <w:r w:rsidRPr="00041C49">
        <w:rPr>
          <w:rFonts w:ascii="Times New Roman" w:hAnsi="Times New Roman" w:cs="Times New Roman"/>
        </w:rPr>
        <w:t>a water</w:t>
      </w:r>
      <w:proofErr w:type="gramEnd"/>
      <w:r w:rsidRPr="00041C49">
        <w:rPr>
          <w:rFonts w:ascii="Times New Roman" w:hAnsi="Times New Roman" w:cs="Times New Roman"/>
        </w:rPr>
        <w:t xml:space="preserve"> palatable?</w:t>
      </w:r>
    </w:p>
    <w:p w:rsidR="005C09C2" w:rsidRPr="00041C49" w:rsidRDefault="005C09C2" w:rsidP="009C6833">
      <w:pPr>
        <w:pStyle w:val="af1"/>
        <w:numPr>
          <w:ilvl w:val="0"/>
          <w:numId w:val="11"/>
        </w:numPr>
        <w:rPr>
          <w:rFonts w:ascii="Times New Roman" w:hAnsi="Times New Roman" w:cs="Times New Roman"/>
        </w:rPr>
      </w:pPr>
      <w:r w:rsidRPr="00041C49">
        <w:rPr>
          <w:rFonts w:ascii="Times New Roman" w:hAnsi="Times New Roman" w:cs="Times New Roman"/>
        </w:rPr>
        <w:t>List several water quality parameters that are important to track and control.</w:t>
      </w:r>
    </w:p>
    <w:p w:rsidR="005C09C2" w:rsidRPr="00041C49" w:rsidRDefault="005C09C2" w:rsidP="009C6833">
      <w:pPr>
        <w:pStyle w:val="af1"/>
        <w:numPr>
          <w:ilvl w:val="0"/>
          <w:numId w:val="11"/>
        </w:numPr>
        <w:rPr>
          <w:rFonts w:ascii="Times New Roman" w:hAnsi="Times New Roman" w:cs="Times New Roman"/>
        </w:rPr>
      </w:pPr>
      <w:r w:rsidRPr="00041C49">
        <w:rPr>
          <w:rFonts w:ascii="Times New Roman" w:hAnsi="Times New Roman" w:cs="Times New Roman"/>
        </w:rPr>
        <w:t>Develop a list of the chemicals that are part of the wastewater streams in the plant that you are employed at. Establish whether or not the operation is in compliance with discharge standards, and whether all permits to discharge are current.</w:t>
      </w:r>
    </w:p>
    <w:p w:rsidR="005C09C2" w:rsidRDefault="005C09C2" w:rsidP="005F0F2B">
      <w:pPr>
        <w:ind w:firstLine="720"/>
        <w:jc w:val="both"/>
        <w:rPr>
          <w:rFonts w:ascii="Times New Roman" w:hAnsi="Times New Roman" w:cs="Times New Roman"/>
          <w:sz w:val="28"/>
          <w:szCs w:val="28"/>
        </w:rPr>
      </w:pPr>
    </w:p>
    <w:p w:rsidR="00222C44" w:rsidRPr="005C09C2" w:rsidRDefault="00222C44" w:rsidP="005F0F2B">
      <w:pPr>
        <w:ind w:firstLine="720"/>
        <w:jc w:val="both"/>
        <w:rPr>
          <w:rFonts w:ascii="Times New Roman" w:hAnsi="Times New Roman" w:cs="Times New Roman"/>
          <w:sz w:val="28"/>
          <w:szCs w:val="28"/>
        </w:rPr>
        <w:sectPr w:rsidR="00222C44" w:rsidRPr="005C09C2" w:rsidSect="005F0F2B">
          <w:headerReference w:type="even" r:id="rId398"/>
          <w:headerReference w:type="default" r:id="rId399"/>
          <w:headerReference w:type="first" r:id="rId400"/>
          <w:footerReference w:type="first" r:id="rId401"/>
          <w:type w:val="continuous"/>
          <w:pgSz w:w="11906" w:h="16838"/>
          <w:pgMar w:top="1134" w:right="851" w:bottom="1134" w:left="1701" w:header="0" w:footer="6" w:gutter="0"/>
          <w:cols w:space="720"/>
          <w:noEndnote/>
          <w:docGrid w:linePitch="360"/>
        </w:sectPr>
      </w:pPr>
    </w:p>
    <w:bookmarkEnd w:id="16"/>
    <w:p w:rsidR="00A115FA" w:rsidRPr="00284E6A" w:rsidRDefault="00A115FA" w:rsidP="00A115FA">
      <w:pPr>
        <w:widowControl/>
        <w:ind w:firstLine="720"/>
        <w:jc w:val="center"/>
        <w:rPr>
          <w:rFonts w:ascii="Times New Roman" w:eastAsia="Times New Roman" w:hAnsi="Times New Roman" w:cs="Times New Roman"/>
          <w:b/>
          <w:sz w:val="28"/>
          <w:szCs w:val="28"/>
          <w:lang w:eastAsia="ru-RU"/>
        </w:rPr>
      </w:pPr>
      <w:proofErr w:type="gramStart"/>
      <w:r w:rsidRPr="00284E6A">
        <w:rPr>
          <w:rFonts w:ascii="Times New Roman" w:hAnsi="Times New Roman" w:cs="Times New Roman"/>
          <w:b/>
          <w:sz w:val="28"/>
          <w:szCs w:val="28"/>
        </w:rPr>
        <w:lastRenderedPageBreak/>
        <w:t>Lecture  27</w:t>
      </w:r>
      <w:proofErr w:type="gramEnd"/>
      <w:r w:rsidRPr="00284E6A">
        <w:rPr>
          <w:rFonts w:ascii="Times New Roman" w:hAnsi="Times New Roman" w:cs="Times New Roman"/>
          <w:b/>
          <w:sz w:val="28"/>
          <w:szCs w:val="28"/>
        </w:rPr>
        <w:t xml:space="preserve"> M</w:t>
      </w:r>
      <w:r w:rsidRPr="00284E6A">
        <w:rPr>
          <w:rStyle w:val="hps"/>
          <w:rFonts w:ascii="Times New Roman" w:hAnsi="Times New Roman" w:cs="Times New Roman"/>
          <w:b/>
          <w:sz w:val="28"/>
          <w:szCs w:val="28"/>
          <w:lang w:val="en"/>
        </w:rPr>
        <w:t>echanical</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air cleaning</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devices</w:t>
      </w:r>
      <w:r w:rsidRPr="00284E6A">
        <w:rPr>
          <w:rFonts w:ascii="Times New Roman" w:eastAsia="Times New Roman" w:hAnsi="Times New Roman" w:cs="Times New Roman"/>
          <w:b/>
          <w:color w:val="auto"/>
          <w:sz w:val="28"/>
          <w:szCs w:val="28"/>
          <w:lang w:eastAsia="ru-RU"/>
        </w:rPr>
        <w:br/>
      </w:r>
    </w:p>
    <w:p w:rsidR="00A115FA" w:rsidRPr="00284E6A" w:rsidRDefault="00A115FA" w:rsidP="00A115FA">
      <w:pPr>
        <w:widowControl/>
        <w:ind w:firstLine="720"/>
        <w:jc w:val="both"/>
        <w:rPr>
          <w:rFonts w:ascii="Times New Roman" w:eastAsia="Times New Roman" w:hAnsi="Times New Roman" w:cs="Times New Roman"/>
          <w:color w:val="auto"/>
          <w:sz w:val="28"/>
          <w:szCs w:val="28"/>
          <w:lang w:eastAsia="ru-RU"/>
        </w:rPr>
      </w:pPr>
      <w:r w:rsidRPr="00284E6A">
        <w:rPr>
          <w:rFonts w:ascii="Times New Roman" w:eastAsia="Times New Roman" w:hAnsi="Times New Roman" w:cs="Times New Roman"/>
          <w:sz w:val="28"/>
          <w:szCs w:val="28"/>
          <w:shd w:val="clear" w:color="auto" w:fill="FFFFFF"/>
          <w:lang w:eastAsia="ru-RU"/>
        </w:rPr>
        <w:t>According to the U.S. Environmental Protection Agency, indoor air pollution is among the top five environmental health risks. But installing an air cleaning device should not be your first method of remediation. The best way to address this risk is to control or eliminate the sources of pollutants and ventilate your home with clean outdoor air.</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Steps you can take to improve your indoor air quality include:</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val="ru-RU" w:eastAsia="ru-RU"/>
        </w:rPr>
      </w:pPr>
      <w:r w:rsidRPr="00284E6A">
        <w:rPr>
          <w:rFonts w:ascii="Times New Roman" w:eastAsia="Times New Roman" w:hAnsi="Times New Roman" w:cs="Times New Roman"/>
          <w:sz w:val="28"/>
          <w:szCs w:val="28"/>
          <w:lang w:val="ru-RU" w:eastAsia="ru-RU"/>
        </w:rPr>
        <w:t>Ban smoking indoors</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Use exhaust fans in the kitchen, bathroom and laundry room</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val="ru-RU" w:eastAsia="ru-RU"/>
        </w:rPr>
      </w:pPr>
      <w:r w:rsidRPr="00284E6A">
        <w:rPr>
          <w:rFonts w:ascii="Times New Roman" w:eastAsia="Times New Roman" w:hAnsi="Times New Roman" w:cs="Times New Roman"/>
          <w:sz w:val="28"/>
          <w:szCs w:val="28"/>
          <w:lang w:val="ru-RU" w:eastAsia="ru-RU"/>
        </w:rPr>
        <w:t>Vacuum frequently</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val="ru-RU" w:eastAsia="ru-RU"/>
        </w:rPr>
      </w:pPr>
      <w:r w:rsidRPr="00284E6A">
        <w:rPr>
          <w:rFonts w:ascii="Times New Roman" w:eastAsia="Times New Roman" w:hAnsi="Times New Roman" w:cs="Times New Roman"/>
          <w:sz w:val="28"/>
          <w:szCs w:val="28"/>
          <w:lang w:val="ru-RU" w:eastAsia="ru-RU"/>
        </w:rPr>
        <w:t>Test for radon</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Don’t store toxic chemicals inside your home</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Maintain heating equipment, fireplaces, chimneys and vents</w:t>
      </w:r>
    </w:p>
    <w:p w:rsidR="00A115FA" w:rsidRPr="00284E6A" w:rsidRDefault="00A115FA" w:rsidP="009C6833">
      <w:pPr>
        <w:widowControl/>
        <w:numPr>
          <w:ilvl w:val="0"/>
          <w:numId w:val="42"/>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If you have an attached garage, don’t idle your car in it</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After taking these safety measures, if you feel you need an air cleaner, explore your options.</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val="ru-RU" w:eastAsia="ru-RU"/>
        </w:rPr>
      </w:pPr>
      <w:r w:rsidRPr="00284E6A">
        <w:rPr>
          <w:rFonts w:ascii="Times New Roman" w:eastAsia="Times New Roman" w:hAnsi="Times New Roman" w:cs="Times New Roman"/>
          <w:b/>
          <w:bCs/>
          <w:sz w:val="28"/>
          <w:szCs w:val="28"/>
          <w:lang w:val="ru-RU" w:eastAsia="ru-RU"/>
        </w:rPr>
        <w:t>Air cleaner basics</w:t>
      </w:r>
    </w:p>
    <w:p w:rsidR="00A115FA" w:rsidRPr="00284E6A" w:rsidRDefault="00A115FA" w:rsidP="009C6833">
      <w:pPr>
        <w:widowControl/>
        <w:numPr>
          <w:ilvl w:val="0"/>
          <w:numId w:val="43"/>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Some types are installed in the ductwork of a home’s central heating, ventilating, and air-conditioning (HVAC) system to clean the air in the entire house.</w:t>
      </w:r>
    </w:p>
    <w:p w:rsidR="00A115FA" w:rsidRPr="00284E6A" w:rsidRDefault="00A115FA" w:rsidP="009C6833">
      <w:pPr>
        <w:widowControl/>
        <w:numPr>
          <w:ilvl w:val="0"/>
          <w:numId w:val="43"/>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Portable room air cleaners can be used to clean the air in a single room or in specific areas, but they are not intended to filter the air in the whole house.</w:t>
      </w:r>
    </w:p>
    <w:p w:rsidR="00A115FA" w:rsidRPr="00284E6A" w:rsidRDefault="00A115FA" w:rsidP="009C6833">
      <w:pPr>
        <w:widowControl/>
        <w:numPr>
          <w:ilvl w:val="0"/>
          <w:numId w:val="43"/>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sz w:val="28"/>
          <w:szCs w:val="28"/>
          <w:lang w:eastAsia="ru-RU"/>
        </w:rPr>
        <w:t>Air-cleaning devices are categorized by the type of pollutants – particulate and gaseous – that the device is designed to remove or destroy.</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Bottom line Factors to consider before purchase</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Types of air cleaning devices</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Mechanical air filters,</w:t>
      </w:r>
      <w:r w:rsidRPr="00284E6A">
        <w:rPr>
          <w:rFonts w:ascii="Times New Roman" w:eastAsia="Times New Roman" w:hAnsi="Times New Roman" w:cs="Times New Roman"/>
          <w:sz w:val="28"/>
          <w:szCs w:val="28"/>
          <w:lang w:eastAsia="ru-RU"/>
        </w:rPr>
        <w:t> such as high efficiency particulate air (HEPA) filters, remove particles by capturing them on filter materials. Most mechanical air filters are good at capturing larger airborne particles — such as dust, pollen, some mold spores and animal dander – and particles that contain dust mite and cockroach allergens. But because these particles settle rather quickly, mechanical air filters are not very good at completely removing them from indoor areas.</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Electronic air cleaners,</w:t>
      </w:r>
      <w:r w:rsidRPr="00284E6A">
        <w:rPr>
          <w:rFonts w:ascii="Times New Roman" w:eastAsia="Times New Roman" w:hAnsi="Times New Roman" w:cs="Times New Roman"/>
          <w:sz w:val="28"/>
          <w:szCs w:val="28"/>
          <w:lang w:eastAsia="ru-RU"/>
        </w:rPr>
        <w:t xml:space="preserve"> such as electrostatic precipitators, use a process called electrostatic attraction to trap particles. Ion generators, or ionizers, disperse charged ions into the air. These ions attach to airborne particles, giving them a charge so they can attach to nearby surfaces such as walls or </w:t>
      </w:r>
      <w:r w:rsidRPr="00284E6A">
        <w:rPr>
          <w:rFonts w:ascii="Times New Roman" w:eastAsia="Times New Roman" w:hAnsi="Times New Roman" w:cs="Times New Roman"/>
          <w:sz w:val="28"/>
          <w:szCs w:val="28"/>
          <w:lang w:eastAsia="ru-RU"/>
        </w:rPr>
        <w:lastRenderedPageBreak/>
        <w:t>furniture, or to one another, and settle faster. However, some electronic air cleaners can produce ozone, a lung irritant.</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Gas-phase air filters</w:t>
      </w:r>
      <w:r w:rsidRPr="00284E6A">
        <w:rPr>
          <w:rFonts w:ascii="Times New Roman" w:eastAsia="Times New Roman" w:hAnsi="Times New Roman" w:cs="Times New Roman"/>
          <w:sz w:val="28"/>
          <w:szCs w:val="28"/>
          <w:lang w:eastAsia="ru-RU"/>
        </w:rPr>
        <w:t> remove gaseous pollutants by using a material such as activated carbon to adsorb pollutants. Because these filters are targeted at one or a limited number of gaseous pollutants, they will not reduce concentrations of pollutants for which they were not designed. Note that the filter can become overloaded quickly and may need to be replaced often.</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UVGI cleaners </w:t>
      </w:r>
      <w:r w:rsidRPr="00284E6A">
        <w:rPr>
          <w:rFonts w:ascii="Times New Roman" w:eastAsia="Times New Roman" w:hAnsi="Times New Roman" w:cs="Times New Roman"/>
          <w:sz w:val="28"/>
          <w:szCs w:val="28"/>
          <w:lang w:eastAsia="ru-RU"/>
        </w:rPr>
        <w:t>use ultraviolet radiation from UV lamps that may destroy biological pollutants such as viruses, bacteria, and molds that are airborne or growing on HVAC surfaces (e.g., cooling coils, drain pans, or ductwork). UVGI cleaners should be used with, but not as a replacement for, filtration systems. Typical UVGI cleaners used in homes have limited effectiveness in killing bacteria and molds. Effective destruction of some viruses and most mold and bacterial spores usually requires much higher UV exposures than a typical home unit provides.</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PCO cleaners</w:t>
      </w:r>
      <w:r w:rsidRPr="00284E6A">
        <w:rPr>
          <w:rFonts w:ascii="Times New Roman" w:eastAsia="Times New Roman" w:hAnsi="Times New Roman" w:cs="Times New Roman"/>
          <w:sz w:val="28"/>
          <w:szCs w:val="28"/>
          <w:lang w:eastAsia="ru-RU"/>
        </w:rPr>
        <w:t xml:space="preserve"> use UV lamps along with a substance, called a </w:t>
      </w:r>
      <w:proofErr w:type="gramStart"/>
      <w:r w:rsidRPr="00284E6A">
        <w:rPr>
          <w:rFonts w:ascii="Times New Roman" w:eastAsia="Times New Roman" w:hAnsi="Times New Roman" w:cs="Times New Roman"/>
          <w:sz w:val="28"/>
          <w:szCs w:val="28"/>
          <w:lang w:eastAsia="ru-RU"/>
        </w:rPr>
        <w:t>catalyst, that</w:t>
      </w:r>
      <w:proofErr w:type="gramEnd"/>
      <w:r w:rsidRPr="00284E6A">
        <w:rPr>
          <w:rFonts w:ascii="Times New Roman" w:eastAsia="Times New Roman" w:hAnsi="Times New Roman" w:cs="Times New Roman"/>
          <w:sz w:val="28"/>
          <w:szCs w:val="28"/>
          <w:lang w:eastAsia="ru-RU"/>
        </w:rPr>
        <w:t xml:space="preserve"> reacts with the light. These cleaners are designed to destroy gaseous pollutants by changing them into harmless products, but they are not designed to remove particulates. The usefulness of PCO cleaners in homes is limited because currently available catalysts are ineffective in destroying gaseous pollutants in indoor air.</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Ozone generators</w:t>
      </w:r>
      <w:r w:rsidRPr="00284E6A">
        <w:rPr>
          <w:rFonts w:ascii="Times New Roman" w:eastAsia="Times New Roman" w:hAnsi="Times New Roman" w:cs="Times New Roman"/>
          <w:sz w:val="28"/>
          <w:szCs w:val="28"/>
          <w:lang w:eastAsia="ru-RU"/>
        </w:rPr>
        <w:t> use UV lamps or electrical discharges to produce ozone that reacts with chemical and biological pollutants and transforms them into harmless substances. Ozone is a potent lung irritant, which in concentrations that do not exceed public health standards, has little potential to remove indoor air contaminants. Thus ozone generators are not always safe and effective in controlling indoor air pollutants.</w:t>
      </w:r>
    </w:p>
    <w:p w:rsidR="00A115FA" w:rsidRPr="00284E6A" w:rsidRDefault="00A115FA" w:rsidP="009C6833">
      <w:pPr>
        <w:widowControl/>
        <w:numPr>
          <w:ilvl w:val="0"/>
          <w:numId w:val="44"/>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Portable air cleaners</w:t>
      </w:r>
      <w:r w:rsidRPr="00284E6A">
        <w:rPr>
          <w:rFonts w:ascii="Times New Roman" w:eastAsia="Times New Roman" w:hAnsi="Times New Roman" w:cs="Times New Roman"/>
          <w:sz w:val="28"/>
          <w:szCs w:val="28"/>
          <w:lang w:eastAsia="ru-RU"/>
        </w:rPr>
        <w:t> generally contain a fan to circulate the air and use one or more of the air-cleaning technologies discussed above. They may be an option if a home is not equipped with a furnace or a central air-conditioning system. Many portable air cleaners have moderate to large air delivery rates for small particles. However, most of the portable air cleaners on the market do not have high enough air delivery rates to remove large particles such as pollen and particles that contain dust mite and cockroach allergens from typical-size rooms.</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Factors to consider before purchase</w:t>
      </w:r>
    </w:p>
    <w:p w:rsidR="00A115FA" w:rsidRPr="00284E6A" w:rsidRDefault="00A115FA" w:rsidP="009C6833">
      <w:pPr>
        <w:widowControl/>
        <w:numPr>
          <w:ilvl w:val="0"/>
          <w:numId w:val="45"/>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Installation. </w:t>
      </w:r>
      <w:r w:rsidRPr="00284E6A">
        <w:rPr>
          <w:rFonts w:ascii="Times New Roman" w:eastAsia="Times New Roman" w:hAnsi="Times New Roman" w:cs="Times New Roman"/>
          <w:sz w:val="28"/>
          <w:szCs w:val="28"/>
          <w:lang w:eastAsia="ru-RU"/>
        </w:rPr>
        <w:t>In-duct air-cleaning devices have certain installation requirements that must be met, including sufficient access for inspection during use, repairs and maintenance.</w:t>
      </w:r>
    </w:p>
    <w:p w:rsidR="00A115FA" w:rsidRPr="00284E6A" w:rsidRDefault="00A115FA" w:rsidP="009C6833">
      <w:pPr>
        <w:widowControl/>
        <w:numPr>
          <w:ilvl w:val="0"/>
          <w:numId w:val="45"/>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Cost. </w:t>
      </w:r>
      <w:r w:rsidRPr="00284E6A">
        <w:rPr>
          <w:rFonts w:ascii="Times New Roman" w:eastAsia="Times New Roman" w:hAnsi="Times New Roman" w:cs="Times New Roman"/>
          <w:sz w:val="28"/>
          <w:szCs w:val="28"/>
          <w:lang w:eastAsia="ru-RU"/>
        </w:rPr>
        <w:t>This includes the initial purchase price and the cost of maintenance (such as cleaning or replacing filters and parts) and operation (electricity).</w:t>
      </w:r>
    </w:p>
    <w:p w:rsidR="00A115FA" w:rsidRPr="00284E6A" w:rsidRDefault="00A115FA" w:rsidP="009C6833">
      <w:pPr>
        <w:widowControl/>
        <w:numPr>
          <w:ilvl w:val="0"/>
          <w:numId w:val="45"/>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lastRenderedPageBreak/>
        <w:t>Odors. </w:t>
      </w:r>
      <w:r w:rsidRPr="00284E6A">
        <w:rPr>
          <w:rFonts w:ascii="Times New Roman" w:eastAsia="Times New Roman" w:hAnsi="Times New Roman" w:cs="Times New Roman"/>
          <w:sz w:val="28"/>
          <w:szCs w:val="28"/>
          <w:lang w:eastAsia="ru-RU"/>
        </w:rPr>
        <w:t>Air-cleaning devices designed to remove particles cannot control gases and some odors. The odor and many of the carcinogenic gas-phase pollutants from tobacco smoke, for example, will remain.</w:t>
      </w:r>
    </w:p>
    <w:p w:rsidR="00A115FA" w:rsidRPr="00284E6A" w:rsidRDefault="00A115FA" w:rsidP="009C6833">
      <w:pPr>
        <w:widowControl/>
        <w:numPr>
          <w:ilvl w:val="0"/>
          <w:numId w:val="45"/>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Soiling of walls and other surfaces.</w:t>
      </w:r>
      <w:r w:rsidRPr="00284E6A">
        <w:rPr>
          <w:rFonts w:ascii="Times New Roman" w:eastAsia="Times New Roman" w:hAnsi="Times New Roman" w:cs="Times New Roman"/>
          <w:sz w:val="28"/>
          <w:szCs w:val="28"/>
          <w:lang w:eastAsia="ru-RU"/>
        </w:rPr>
        <w:t>Typical ion generators are not designed to remove from the air the charged particles that they generate. These charged particles may settle on walls and other room surfaces.</w:t>
      </w:r>
    </w:p>
    <w:p w:rsidR="00A115FA" w:rsidRPr="00284E6A" w:rsidRDefault="00A115FA" w:rsidP="009C6833">
      <w:pPr>
        <w:widowControl/>
        <w:numPr>
          <w:ilvl w:val="0"/>
          <w:numId w:val="45"/>
        </w:numPr>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Noise.</w:t>
      </w:r>
      <w:r w:rsidRPr="00284E6A">
        <w:rPr>
          <w:rFonts w:ascii="Times New Roman" w:eastAsia="Times New Roman" w:hAnsi="Times New Roman" w:cs="Times New Roman"/>
          <w:sz w:val="28"/>
          <w:szCs w:val="28"/>
          <w:lang w:eastAsia="ru-RU"/>
        </w:rPr>
        <w:t> This may be a problem with portable air cleaners that contain fans. Those without fans tend to be much less effective than units with them.</w:t>
      </w:r>
    </w:p>
    <w:p w:rsidR="00A115FA" w:rsidRPr="00284E6A"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r w:rsidRPr="00284E6A">
        <w:rPr>
          <w:rFonts w:ascii="Times New Roman" w:eastAsia="Times New Roman" w:hAnsi="Times New Roman" w:cs="Times New Roman"/>
          <w:b/>
          <w:bCs/>
          <w:sz w:val="28"/>
          <w:szCs w:val="28"/>
          <w:lang w:eastAsia="ru-RU"/>
        </w:rPr>
        <w:t>Bottom line</w:t>
      </w:r>
      <w:r w:rsidRPr="00284E6A">
        <w:rPr>
          <w:rFonts w:ascii="Times New Roman" w:eastAsia="Times New Roman" w:hAnsi="Times New Roman" w:cs="Times New Roman"/>
          <w:b/>
          <w:bCs/>
          <w:sz w:val="28"/>
          <w:szCs w:val="28"/>
          <w:lang w:eastAsia="ru-RU"/>
        </w:rPr>
        <w:br/>
      </w:r>
      <w:proofErr w:type="gramStart"/>
      <w:r w:rsidRPr="00284E6A">
        <w:rPr>
          <w:rFonts w:ascii="Times New Roman" w:eastAsia="Times New Roman" w:hAnsi="Times New Roman" w:cs="Times New Roman"/>
          <w:sz w:val="28"/>
          <w:szCs w:val="28"/>
          <w:lang w:eastAsia="ru-RU"/>
        </w:rPr>
        <w:t>The</w:t>
      </w:r>
      <w:proofErr w:type="gramEnd"/>
      <w:r w:rsidRPr="00284E6A">
        <w:rPr>
          <w:rFonts w:ascii="Times New Roman" w:eastAsia="Times New Roman" w:hAnsi="Times New Roman" w:cs="Times New Roman"/>
          <w:sz w:val="28"/>
          <w:szCs w:val="28"/>
          <w:lang w:eastAsia="ru-RU"/>
        </w:rPr>
        <w:t xml:space="preserve"> ability to remove some airborne pollutants, including microorganisms, is not, in itself, an indication of an air-cleaning device’s ability to reduce adverse health effects from indoor pollutants. Although air-cleaning devices may help reduce levels of smaller airborne particles including those associated with allergens, they may not reduce adverse health effects, especially in sensitive populations such as children, people who have asthma and allergies, and the elderly. For example, the evidence is weak that air-cleaning devices are effective in reducing asthma symptoms associated with small airborne particles such as those that contain cat and dust mite allergens. There are no studies linking the use of gas-phase filtration, UVGI systems, or PCO systems in homes to reduced health symptoms in sensitive populations.</w:t>
      </w:r>
    </w:p>
    <w:p w:rsidR="00A115FA" w:rsidRPr="00284E6A" w:rsidRDefault="00A115FA" w:rsidP="00A115FA">
      <w:pPr>
        <w:jc w:val="center"/>
        <w:rPr>
          <w:rFonts w:ascii="Times New Roman" w:hAnsi="Times New Roman" w:cs="Times New Roman"/>
          <w:b/>
          <w:sz w:val="28"/>
          <w:szCs w:val="28"/>
        </w:rPr>
      </w:pPr>
      <w:proofErr w:type="gramStart"/>
      <w:r w:rsidRPr="00284E6A">
        <w:rPr>
          <w:rFonts w:ascii="Times New Roman" w:hAnsi="Times New Roman" w:cs="Times New Roman"/>
          <w:b/>
          <w:sz w:val="28"/>
          <w:szCs w:val="28"/>
        </w:rPr>
        <w:t>Lecture  28</w:t>
      </w:r>
      <w:proofErr w:type="gramEnd"/>
      <w:r w:rsidRPr="00284E6A">
        <w:rPr>
          <w:rFonts w:ascii="Times New Roman" w:hAnsi="Times New Roman" w:cs="Times New Roman"/>
          <w:b/>
          <w:sz w:val="28"/>
          <w:szCs w:val="28"/>
        </w:rPr>
        <w:t xml:space="preserve"> </w:t>
      </w:r>
      <w:r w:rsidRPr="00284E6A">
        <w:rPr>
          <w:rStyle w:val="hpsalt-edited"/>
          <w:rFonts w:ascii="Times New Roman" w:hAnsi="Times New Roman" w:cs="Times New Roman"/>
          <w:b/>
          <w:sz w:val="28"/>
          <w:szCs w:val="28"/>
          <w:lang w:val="en"/>
        </w:rPr>
        <w:t>Damp</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air cleaning</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devices</w:t>
      </w:r>
    </w:p>
    <w:p w:rsidR="00A115FA" w:rsidRPr="00284E6A" w:rsidRDefault="00A115FA" w:rsidP="00A115FA">
      <w:pPr>
        <w:pStyle w:val="2"/>
        <w:pBdr>
          <w:bottom w:val="single" w:sz="6" w:space="2" w:color="AAAAAA"/>
        </w:pBdr>
        <w:spacing w:before="0" w:after="144"/>
        <w:ind w:firstLine="720"/>
        <w:jc w:val="both"/>
        <w:rPr>
          <w:rFonts w:ascii="Times New Roman" w:hAnsi="Times New Roman" w:cs="Times New Roman"/>
          <w:b w:val="0"/>
          <w:bCs w:val="0"/>
          <w:i w:val="0"/>
          <w:iCs w:val="0"/>
          <w:color w:val="auto"/>
          <w:lang w:val="en"/>
        </w:rPr>
      </w:pPr>
      <w:r w:rsidRPr="00284E6A">
        <w:rPr>
          <w:rFonts w:ascii="Times New Roman" w:hAnsi="Times New Roman" w:cs="Times New Roman"/>
          <w:b w:val="0"/>
          <w:bCs w:val="0"/>
          <w:i w:val="0"/>
          <w:iCs w:val="0"/>
          <w:color w:val="auto"/>
          <w:lang w:val="en"/>
        </w:rPr>
        <w:t>Dust,</w:t>
      </w:r>
      <w:r w:rsidRPr="00284E6A">
        <w:rPr>
          <w:rStyle w:val="apple-converted-space"/>
          <w:rFonts w:ascii="Times New Roman" w:hAnsi="Times New Roman" w:cs="Times New Roman"/>
          <w:b w:val="0"/>
          <w:bCs w:val="0"/>
          <w:i w:val="0"/>
          <w:iCs w:val="0"/>
          <w:color w:val="auto"/>
          <w:lang w:val="en"/>
        </w:rPr>
        <w:t> </w:t>
      </w:r>
      <w:hyperlink r:id="rId402" w:tooltip="Pollen" w:history="1">
        <w:r w:rsidRPr="00284E6A">
          <w:rPr>
            <w:rStyle w:val="ac"/>
            <w:rFonts w:ascii="Times New Roman" w:hAnsi="Times New Roman" w:cs="Times New Roman"/>
            <w:b w:val="0"/>
            <w:bCs w:val="0"/>
            <w:i w:val="0"/>
            <w:iCs w:val="0"/>
            <w:color w:val="auto"/>
            <w:lang w:val="en"/>
          </w:rPr>
          <w:t>pollen</w:t>
        </w:r>
      </w:hyperlink>
      <w:r w:rsidRPr="00284E6A">
        <w:rPr>
          <w:rFonts w:ascii="Times New Roman" w:hAnsi="Times New Roman" w:cs="Times New Roman"/>
          <w:b w:val="0"/>
          <w:bCs w:val="0"/>
          <w:i w:val="0"/>
          <w:iCs w:val="0"/>
          <w:color w:val="auto"/>
          <w:lang w:val="en"/>
        </w:rPr>
        <w:t>, pet</w:t>
      </w:r>
      <w:r w:rsidRPr="00284E6A">
        <w:rPr>
          <w:rStyle w:val="apple-converted-space"/>
          <w:rFonts w:ascii="Times New Roman" w:hAnsi="Times New Roman" w:cs="Times New Roman"/>
          <w:b w:val="0"/>
          <w:bCs w:val="0"/>
          <w:i w:val="0"/>
          <w:iCs w:val="0"/>
          <w:color w:val="auto"/>
          <w:lang w:val="en"/>
        </w:rPr>
        <w:t> </w:t>
      </w:r>
      <w:hyperlink r:id="rId403" w:tooltip="Dander" w:history="1">
        <w:r w:rsidRPr="00284E6A">
          <w:rPr>
            <w:rStyle w:val="ac"/>
            <w:rFonts w:ascii="Times New Roman" w:hAnsi="Times New Roman" w:cs="Times New Roman"/>
            <w:b w:val="0"/>
            <w:bCs w:val="0"/>
            <w:i w:val="0"/>
            <w:iCs w:val="0"/>
            <w:color w:val="auto"/>
            <w:lang w:val="en"/>
          </w:rPr>
          <w:t>dander</w:t>
        </w:r>
      </w:hyperlink>
      <w:r w:rsidRPr="00284E6A">
        <w:rPr>
          <w:rFonts w:ascii="Times New Roman" w:hAnsi="Times New Roman" w:cs="Times New Roman"/>
          <w:b w:val="0"/>
          <w:bCs w:val="0"/>
          <w:i w:val="0"/>
          <w:iCs w:val="0"/>
          <w:color w:val="auto"/>
          <w:lang w:val="en"/>
        </w:rPr>
        <w:t>,</w:t>
      </w:r>
      <w:r w:rsidRPr="00284E6A">
        <w:rPr>
          <w:rStyle w:val="apple-converted-space"/>
          <w:rFonts w:ascii="Times New Roman" w:hAnsi="Times New Roman" w:cs="Times New Roman"/>
          <w:b w:val="0"/>
          <w:bCs w:val="0"/>
          <w:i w:val="0"/>
          <w:iCs w:val="0"/>
          <w:color w:val="auto"/>
          <w:lang w:val="en"/>
        </w:rPr>
        <w:t> </w:t>
      </w:r>
      <w:hyperlink r:id="rId404" w:tooltip="Mold" w:history="1">
        <w:r w:rsidRPr="00284E6A">
          <w:rPr>
            <w:rStyle w:val="ac"/>
            <w:rFonts w:ascii="Times New Roman" w:hAnsi="Times New Roman" w:cs="Times New Roman"/>
            <w:b w:val="0"/>
            <w:bCs w:val="0"/>
            <w:i w:val="0"/>
            <w:iCs w:val="0"/>
            <w:color w:val="auto"/>
            <w:lang w:val="en"/>
          </w:rPr>
          <w:t>mold</w:t>
        </w:r>
      </w:hyperlink>
      <w:r w:rsidRPr="00284E6A">
        <w:rPr>
          <w:rStyle w:val="apple-converted-space"/>
          <w:rFonts w:ascii="Times New Roman" w:hAnsi="Times New Roman" w:cs="Times New Roman"/>
          <w:b w:val="0"/>
          <w:bCs w:val="0"/>
          <w:i w:val="0"/>
          <w:iCs w:val="0"/>
          <w:color w:val="auto"/>
          <w:lang w:val="en"/>
        </w:rPr>
        <w:t> </w:t>
      </w:r>
      <w:hyperlink r:id="rId405" w:tooltip="Spore" w:history="1">
        <w:r w:rsidRPr="00284E6A">
          <w:rPr>
            <w:rStyle w:val="ac"/>
            <w:rFonts w:ascii="Times New Roman" w:hAnsi="Times New Roman" w:cs="Times New Roman"/>
            <w:b w:val="0"/>
            <w:bCs w:val="0"/>
            <w:i w:val="0"/>
            <w:iCs w:val="0"/>
            <w:color w:val="auto"/>
            <w:lang w:val="en"/>
          </w:rPr>
          <w:t>spores</w:t>
        </w:r>
      </w:hyperlink>
      <w:r w:rsidRPr="00284E6A">
        <w:rPr>
          <w:rFonts w:ascii="Times New Roman" w:hAnsi="Times New Roman" w:cs="Times New Roman"/>
          <w:b w:val="0"/>
          <w:bCs w:val="0"/>
          <w:i w:val="0"/>
          <w:iCs w:val="0"/>
          <w:color w:val="auto"/>
          <w:lang w:val="en"/>
        </w:rPr>
        <w:t>, and</w:t>
      </w:r>
      <w:r w:rsidRPr="00284E6A">
        <w:rPr>
          <w:rStyle w:val="apple-converted-space"/>
          <w:rFonts w:ascii="Times New Roman" w:hAnsi="Times New Roman" w:cs="Times New Roman"/>
          <w:b w:val="0"/>
          <w:bCs w:val="0"/>
          <w:i w:val="0"/>
          <w:iCs w:val="0"/>
          <w:color w:val="auto"/>
          <w:lang w:val="en"/>
        </w:rPr>
        <w:t> </w:t>
      </w:r>
      <w:hyperlink r:id="rId406" w:tooltip="Dust mite" w:history="1">
        <w:r w:rsidRPr="00284E6A">
          <w:rPr>
            <w:rStyle w:val="ac"/>
            <w:rFonts w:ascii="Times New Roman" w:hAnsi="Times New Roman" w:cs="Times New Roman"/>
            <w:b w:val="0"/>
            <w:bCs w:val="0"/>
            <w:i w:val="0"/>
            <w:iCs w:val="0"/>
            <w:color w:val="auto"/>
            <w:lang w:val="en"/>
          </w:rPr>
          <w:t>dust mite</w:t>
        </w:r>
      </w:hyperlink>
      <w:r w:rsidRPr="00284E6A">
        <w:rPr>
          <w:rStyle w:val="apple-converted-space"/>
          <w:rFonts w:ascii="Times New Roman" w:hAnsi="Times New Roman" w:cs="Times New Roman"/>
          <w:b w:val="0"/>
          <w:bCs w:val="0"/>
          <w:i w:val="0"/>
          <w:iCs w:val="0"/>
          <w:color w:val="auto"/>
          <w:lang w:val="en"/>
        </w:rPr>
        <w:t> </w:t>
      </w:r>
      <w:hyperlink r:id="rId407" w:tooltip="Feces" w:history="1">
        <w:r w:rsidRPr="00284E6A">
          <w:rPr>
            <w:rStyle w:val="ac"/>
            <w:rFonts w:ascii="Times New Roman" w:hAnsi="Times New Roman" w:cs="Times New Roman"/>
            <w:b w:val="0"/>
            <w:bCs w:val="0"/>
            <w:i w:val="0"/>
            <w:iCs w:val="0"/>
            <w:color w:val="auto"/>
            <w:lang w:val="en"/>
          </w:rPr>
          <w:t>feces</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can act as</w:t>
      </w:r>
      <w:r w:rsidRPr="00284E6A">
        <w:rPr>
          <w:rStyle w:val="apple-converted-space"/>
          <w:rFonts w:ascii="Times New Roman" w:hAnsi="Times New Roman" w:cs="Times New Roman"/>
          <w:b w:val="0"/>
          <w:bCs w:val="0"/>
          <w:i w:val="0"/>
          <w:iCs w:val="0"/>
          <w:color w:val="auto"/>
          <w:lang w:val="en"/>
        </w:rPr>
        <w:t> </w:t>
      </w:r>
      <w:hyperlink r:id="rId408" w:tooltip="Allergens" w:history="1">
        <w:r w:rsidRPr="00284E6A">
          <w:rPr>
            <w:rStyle w:val="ac"/>
            <w:rFonts w:ascii="Times New Roman" w:hAnsi="Times New Roman" w:cs="Times New Roman"/>
            <w:b w:val="0"/>
            <w:bCs w:val="0"/>
            <w:i w:val="0"/>
            <w:iCs w:val="0"/>
            <w:color w:val="auto"/>
            <w:lang w:val="en"/>
          </w:rPr>
          <w:t>allergens</w:t>
        </w:r>
      </w:hyperlink>
      <w:r w:rsidRPr="00284E6A">
        <w:rPr>
          <w:rFonts w:ascii="Times New Roman" w:hAnsi="Times New Roman" w:cs="Times New Roman"/>
          <w:b w:val="0"/>
          <w:bCs w:val="0"/>
          <w:i w:val="0"/>
          <w:iCs w:val="0"/>
          <w:color w:val="auto"/>
          <w:lang w:val="en"/>
        </w:rPr>
        <w:t>, triggering</w:t>
      </w:r>
      <w:r w:rsidRPr="00284E6A">
        <w:rPr>
          <w:rStyle w:val="apple-converted-space"/>
          <w:rFonts w:ascii="Times New Roman" w:hAnsi="Times New Roman" w:cs="Times New Roman"/>
          <w:b w:val="0"/>
          <w:bCs w:val="0"/>
          <w:i w:val="0"/>
          <w:iCs w:val="0"/>
          <w:color w:val="auto"/>
          <w:lang w:val="en"/>
        </w:rPr>
        <w:t> </w:t>
      </w:r>
      <w:hyperlink r:id="rId409" w:tooltip="Allergies" w:history="1">
        <w:r w:rsidRPr="00284E6A">
          <w:rPr>
            <w:rStyle w:val="ac"/>
            <w:rFonts w:ascii="Times New Roman" w:hAnsi="Times New Roman" w:cs="Times New Roman"/>
            <w:b w:val="0"/>
            <w:bCs w:val="0"/>
            <w:i w:val="0"/>
            <w:iCs w:val="0"/>
            <w:color w:val="auto"/>
            <w:lang w:val="en"/>
          </w:rPr>
          <w:t>allergies</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in sensitive people. Smoke</w:t>
      </w:r>
      <w:r w:rsidRPr="00284E6A">
        <w:rPr>
          <w:rStyle w:val="apple-converted-space"/>
          <w:rFonts w:ascii="Times New Roman" w:hAnsi="Times New Roman" w:cs="Times New Roman"/>
          <w:b w:val="0"/>
          <w:bCs w:val="0"/>
          <w:i w:val="0"/>
          <w:iCs w:val="0"/>
          <w:color w:val="auto"/>
          <w:lang w:val="en"/>
        </w:rPr>
        <w:t> </w:t>
      </w:r>
      <w:hyperlink r:id="rId410" w:tooltip="Particulate" w:history="1">
        <w:r w:rsidRPr="00284E6A">
          <w:rPr>
            <w:rStyle w:val="ac"/>
            <w:rFonts w:ascii="Times New Roman" w:hAnsi="Times New Roman" w:cs="Times New Roman"/>
            <w:b w:val="0"/>
            <w:bCs w:val="0"/>
            <w:i w:val="0"/>
            <w:iCs w:val="0"/>
            <w:color w:val="auto"/>
            <w:lang w:val="en"/>
          </w:rPr>
          <w:t>particles</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and</w:t>
      </w:r>
      <w:r w:rsidRPr="00284E6A">
        <w:rPr>
          <w:rStyle w:val="apple-converted-space"/>
          <w:rFonts w:ascii="Times New Roman" w:hAnsi="Times New Roman" w:cs="Times New Roman"/>
          <w:b w:val="0"/>
          <w:bCs w:val="0"/>
          <w:i w:val="0"/>
          <w:iCs w:val="0"/>
          <w:color w:val="auto"/>
          <w:lang w:val="en"/>
        </w:rPr>
        <w:t> </w:t>
      </w:r>
      <w:hyperlink r:id="rId411" w:tooltip="Volatile organic compound" w:history="1">
        <w:r w:rsidRPr="00284E6A">
          <w:rPr>
            <w:rStyle w:val="ac"/>
            <w:rFonts w:ascii="Times New Roman" w:hAnsi="Times New Roman" w:cs="Times New Roman"/>
            <w:b w:val="0"/>
            <w:bCs w:val="0"/>
            <w:i w:val="0"/>
            <w:iCs w:val="0"/>
            <w:color w:val="auto"/>
            <w:lang w:val="en"/>
          </w:rPr>
          <w:t>volatile organic compounds</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(VOCs) can pose a risk to health. Exposure to various components such as VOCs increases the likelihood of experiencing symptoms of</w:t>
      </w:r>
      <w:r w:rsidRPr="00284E6A">
        <w:rPr>
          <w:rStyle w:val="apple-converted-space"/>
          <w:rFonts w:ascii="Times New Roman" w:hAnsi="Times New Roman" w:cs="Times New Roman"/>
          <w:b w:val="0"/>
          <w:bCs w:val="0"/>
          <w:i w:val="0"/>
          <w:iCs w:val="0"/>
          <w:color w:val="auto"/>
          <w:lang w:val="en"/>
        </w:rPr>
        <w:t> </w:t>
      </w:r>
      <w:hyperlink r:id="rId412" w:tooltip="Sick building syndrome" w:history="1">
        <w:r w:rsidRPr="00284E6A">
          <w:rPr>
            <w:rStyle w:val="ac"/>
            <w:rFonts w:ascii="Times New Roman" w:hAnsi="Times New Roman" w:cs="Times New Roman"/>
            <w:b w:val="0"/>
            <w:bCs w:val="0"/>
            <w:i w:val="0"/>
            <w:iCs w:val="0"/>
            <w:color w:val="auto"/>
            <w:lang w:val="en"/>
          </w:rPr>
          <w:t>sick building syndrome</w:t>
        </w:r>
      </w:hyperlink>
      <w:r w:rsidRPr="00284E6A">
        <w:rPr>
          <w:rFonts w:ascii="Times New Roman" w:hAnsi="Times New Roman" w:cs="Times New Roman"/>
          <w:b w:val="0"/>
          <w:bCs w:val="0"/>
          <w:i w:val="0"/>
          <w:iCs w:val="0"/>
          <w:color w:val="auto"/>
          <w:lang w:val="en"/>
        </w:rPr>
        <w:t>.</w:t>
      </w:r>
      <w:hyperlink r:id="rId413" w:anchor="cite_note-ang-1" w:history="1">
        <w:r w:rsidRPr="00284E6A">
          <w:rPr>
            <w:rStyle w:val="ac"/>
            <w:rFonts w:ascii="Times New Roman" w:hAnsi="Times New Roman" w:cs="Times New Roman"/>
            <w:b w:val="0"/>
            <w:bCs w:val="0"/>
            <w:i w:val="0"/>
            <w:iCs w:val="0"/>
            <w:color w:val="auto"/>
            <w:vertAlign w:val="superscript"/>
            <w:lang w:val="en"/>
          </w:rPr>
          <w:t>[1]</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Additionally, with the advancement in technology</w:t>
      </w:r>
      <w:r w:rsidRPr="00284E6A">
        <w:rPr>
          <w:rFonts w:ascii="Times New Roman" w:hAnsi="Times New Roman" w:cs="Times New Roman"/>
          <w:b w:val="0"/>
          <w:bCs w:val="0"/>
          <w:i w:val="0"/>
          <w:iCs w:val="0"/>
          <w:color w:val="auto"/>
          <w:vertAlign w:val="superscript"/>
          <w:lang w:val="en"/>
        </w:rPr>
        <w:t>[</w:t>
      </w:r>
      <w:hyperlink r:id="rId414" w:tooltip="Wikipedia:Vagueness" w:history="1">
        <w:r w:rsidRPr="00284E6A">
          <w:rPr>
            <w:rStyle w:val="ac"/>
            <w:rFonts w:ascii="Times New Roman" w:hAnsi="Times New Roman" w:cs="Times New Roman"/>
            <w:b w:val="0"/>
            <w:bCs w:val="0"/>
            <w:i w:val="0"/>
            <w:iCs w:val="0"/>
            <w:color w:val="auto"/>
            <w:vertAlign w:val="superscript"/>
            <w:lang w:val="en"/>
          </w:rPr>
          <w:t>vague</w:t>
        </w:r>
      </w:hyperlink>
      <w:r w:rsidRPr="00284E6A">
        <w:rPr>
          <w:rFonts w:ascii="Times New Roman" w:hAnsi="Times New Roman" w:cs="Times New Roman"/>
          <w:b w:val="0"/>
          <w:bCs w:val="0"/>
          <w:i w:val="0"/>
          <w:iCs w:val="0"/>
          <w:color w:val="auto"/>
          <w:vertAlign w:val="superscript"/>
          <w:lang w:val="en"/>
        </w:rPr>
        <w:t>]</w:t>
      </w:r>
      <w:r w:rsidRPr="00284E6A">
        <w:rPr>
          <w:rFonts w:ascii="Times New Roman" w:hAnsi="Times New Roman" w:cs="Times New Roman"/>
          <w:b w:val="0"/>
          <w:bCs w:val="0"/>
          <w:i w:val="0"/>
          <w:iCs w:val="0"/>
          <w:color w:val="auto"/>
          <w:lang w:val="en"/>
        </w:rPr>
        <w:t>, air purifiers are becoming increasingly capable of capturing a greater number of bacterial, virus, and DNA damaging particulates.</w:t>
      </w:r>
      <w:r w:rsidRPr="00284E6A">
        <w:rPr>
          <w:rFonts w:ascii="Times New Roman" w:hAnsi="Times New Roman" w:cs="Times New Roman"/>
          <w:b w:val="0"/>
          <w:bCs w:val="0"/>
          <w:i w:val="0"/>
          <w:iCs w:val="0"/>
          <w:color w:val="auto"/>
          <w:vertAlign w:val="superscript"/>
          <w:lang w:val="en"/>
        </w:rPr>
        <w:t>[</w:t>
      </w:r>
      <w:hyperlink r:id="rId415" w:tooltip="Wikipedia:Citation needed" w:history="1">
        <w:r w:rsidRPr="00284E6A">
          <w:rPr>
            <w:rStyle w:val="ac"/>
            <w:rFonts w:ascii="Times New Roman" w:hAnsi="Times New Roman" w:cs="Times New Roman"/>
            <w:b w:val="0"/>
            <w:bCs w:val="0"/>
            <w:i w:val="0"/>
            <w:iCs w:val="0"/>
            <w:color w:val="auto"/>
            <w:vertAlign w:val="superscript"/>
            <w:lang w:val="en"/>
          </w:rPr>
          <w:t>citation needed</w:t>
        </w:r>
      </w:hyperlink>
      <w:r w:rsidRPr="00284E6A">
        <w:rPr>
          <w:rFonts w:ascii="Times New Roman" w:hAnsi="Times New Roman" w:cs="Times New Roman"/>
          <w:b w:val="0"/>
          <w:bCs w:val="0"/>
          <w:i w:val="0"/>
          <w:iCs w:val="0"/>
          <w:color w:val="auto"/>
          <w:vertAlign w:val="superscript"/>
          <w:lang w:val="en"/>
        </w:rPr>
        <w:t>]</w:t>
      </w:r>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Air purifiers are used to reduce the concentration of these airborne</w:t>
      </w:r>
      <w:r w:rsidRPr="00284E6A">
        <w:rPr>
          <w:rStyle w:val="apple-converted-space"/>
          <w:rFonts w:ascii="Times New Roman" w:hAnsi="Times New Roman" w:cs="Times New Roman"/>
          <w:b w:val="0"/>
          <w:bCs w:val="0"/>
          <w:i w:val="0"/>
          <w:iCs w:val="0"/>
          <w:color w:val="auto"/>
          <w:lang w:val="en"/>
        </w:rPr>
        <w:t> </w:t>
      </w:r>
      <w:hyperlink r:id="rId416" w:tooltip="Pollution" w:history="1">
        <w:r w:rsidRPr="00284E6A">
          <w:rPr>
            <w:rStyle w:val="ac"/>
            <w:rFonts w:ascii="Times New Roman" w:hAnsi="Times New Roman" w:cs="Times New Roman"/>
            <w:b w:val="0"/>
            <w:bCs w:val="0"/>
            <w:i w:val="0"/>
            <w:iCs w:val="0"/>
            <w:color w:val="auto"/>
            <w:lang w:val="en"/>
          </w:rPr>
          <w:t>contaminants</w:t>
        </w:r>
      </w:hyperlink>
      <w:r w:rsidRPr="00284E6A">
        <w:rPr>
          <w:rStyle w:val="apple-converted-space"/>
          <w:rFonts w:ascii="Times New Roman" w:hAnsi="Times New Roman" w:cs="Times New Roman"/>
          <w:b w:val="0"/>
          <w:bCs w:val="0"/>
          <w:i w:val="0"/>
          <w:iCs w:val="0"/>
          <w:color w:val="auto"/>
          <w:lang w:val="en"/>
        </w:rPr>
        <w:t> </w:t>
      </w:r>
      <w:r w:rsidRPr="00284E6A">
        <w:rPr>
          <w:rFonts w:ascii="Times New Roman" w:hAnsi="Times New Roman" w:cs="Times New Roman"/>
          <w:b w:val="0"/>
          <w:bCs w:val="0"/>
          <w:i w:val="0"/>
          <w:iCs w:val="0"/>
          <w:color w:val="auto"/>
          <w:lang w:val="en"/>
        </w:rPr>
        <w:t>and can be useful for people who suffer from allergies and asthma.</w:t>
      </w:r>
      <w:hyperlink r:id="rId417" w:anchor="cite_note-2" w:history="1">
        <w:r w:rsidRPr="00284E6A">
          <w:rPr>
            <w:rStyle w:val="ac"/>
            <w:rFonts w:ascii="Times New Roman" w:hAnsi="Times New Roman" w:cs="Times New Roman"/>
            <w:b w:val="0"/>
            <w:bCs w:val="0"/>
            <w:i w:val="0"/>
            <w:iCs w:val="0"/>
            <w:color w:val="auto"/>
            <w:vertAlign w:val="superscript"/>
            <w:lang w:val="en"/>
          </w:rPr>
          <w:t>[2]</w:t>
        </w:r>
      </w:hyperlink>
    </w:p>
    <w:p w:rsidR="00A115FA" w:rsidRPr="00284E6A" w:rsidRDefault="00A115FA" w:rsidP="00A115FA">
      <w:pPr>
        <w:pStyle w:val="af3"/>
        <w:spacing w:before="96" w:beforeAutospacing="0" w:after="120" w:afterAutospacing="0"/>
        <w:ind w:firstLine="720"/>
        <w:jc w:val="both"/>
        <w:rPr>
          <w:color w:val="000000"/>
          <w:sz w:val="28"/>
          <w:szCs w:val="28"/>
          <w:lang w:val="en"/>
        </w:rPr>
      </w:pPr>
      <w:r w:rsidRPr="00284E6A">
        <w:rPr>
          <w:color w:val="000000"/>
          <w:sz w:val="28"/>
          <w:szCs w:val="28"/>
          <w:lang w:val="en"/>
        </w:rPr>
        <w:t>Several different processes of varying effectiveness can be used to purify air.</w:t>
      </w:r>
    </w:p>
    <w:p w:rsidR="00A115FA" w:rsidRPr="00284E6A" w:rsidRDefault="00A115FA" w:rsidP="009C6833">
      <w:pPr>
        <w:widowControl/>
        <w:numPr>
          <w:ilvl w:val="0"/>
          <w:numId w:val="46"/>
        </w:numPr>
        <w:spacing w:before="100" w:beforeAutospacing="1" w:after="24"/>
        <w:ind w:left="0" w:firstLine="720"/>
        <w:jc w:val="both"/>
        <w:rPr>
          <w:rFonts w:ascii="Times New Roman" w:hAnsi="Times New Roman" w:cs="Times New Roman"/>
          <w:sz w:val="28"/>
          <w:szCs w:val="28"/>
          <w:lang w:val="en"/>
        </w:rPr>
      </w:pPr>
      <w:r w:rsidRPr="00284E6A">
        <w:rPr>
          <w:rFonts w:ascii="Times New Roman" w:hAnsi="Times New Roman" w:cs="Times New Roman"/>
          <w:sz w:val="28"/>
          <w:szCs w:val="28"/>
          <w:lang w:val="en"/>
        </w:rPr>
        <w:t>Thermodynamic Sterilization System - TSS technology works by heat sterilisation via a ceramic core with micro capillaries. The ceramic core is heated to 200°C</w:t>
      </w:r>
      <w:proofErr w:type="gramStart"/>
      <w:r w:rsidRPr="00284E6A">
        <w:rPr>
          <w:rFonts w:ascii="Times New Roman" w:hAnsi="Times New Roman" w:cs="Times New Roman"/>
          <w:sz w:val="28"/>
          <w:szCs w:val="28"/>
          <w:lang w:val="en"/>
        </w:rPr>
        <w:t>/(</w:t>
      </w:r>
      <w:proofErr w:type="gramEnd"/>
      <w:smartTag w:uri="urn:schemas-microsoft-com:office:smarttags" w:element="metricconverter">
        <w:smartTagPr>
          <w:attr w:name="ProductID" w:val="392ﾰF"/>
        </w:smartTagPr>
        <w:r w:rsidRPr="00284E6A">
          <w:rPr>
            <w:rFonts w:ascii="Times New Roman" w:hAnsi="Times New Roman" w:cs="Times New Roman"/>
            <w:sz w:val="28"/>
            <w:szCs w:val="28"/>
            <w:lang w:val="en"/>
          </w:rPr>
          <w:t>392°F</w:t>
        </w:r>
      </w:smartTag>
      <w:r w:rsidRPr="00284E6A">
        <w:rPr>
          <w:rFonts w:ascii="Times New Roman" w:hAnsi="Times New Roman" w:cs="Times New Roman"/>
          <w:sz w:val="28"/>
          <w:szCs w:val="28"/>
          <w:lang w:val="en"/>
        </w:rPr>
        <w:t>), consequently 99.9% of microbiological particles - bacteria, viruses, dust mite allergens, mould and fungi spores - are incinerated. The air passes through the ceramic core by the natural process of</w:t>
      </w:r>
      <w:r w:rsidRPr="00284E6A">
        <w:rPr>
          <w:rStyle w:val="apple-converted-space"/>
          <w:rFonts w:ascii="Times New Roman" w:hAnsi="Times New Roman" w:cs="Times New Roman"/>
          <w:sz w:val="28"/>
          <w:szCs w:val="28"/>
          <w:lang w:val="en"/>
        </w:rPr>
        <w:t> </w:t>
      </w:r>
      <w:hyperlink r:id="rId418" w:tooltip="Convection" w:history="1">
        <w:r w:rsidRPr="00284E6A">
          <w:rPr>
            <w:rStyle w:val="ac"/>
            <w:rFonts w:ascii="Times New Roman" w:hAnsi="Times New Roman" w:cs="Times New Roman"/>
            <w:color w:val="0B0080"/>
            <w:sz w:val="28"/>
            <w:szCs w:val="28"/>
            <w:lang w:val="en"/>
          </w:rPr>
          <w:t>air convection</w:t>
        </w:r>
      </w:hyperlink>
      <w:r w:rsidRPr="00284E6A">
        <w:rPr>
          <w:rFonts w:ascii="Times New Roman" w:hAnsi="Times New Roman" w:cs="Times New Roman"/>
          <w:sz w:val="28"/>
          <w:szCs w:val="28"/>
          <w:lang w:val="en"/>
        </w:rPr>
        <w:t>. The hot air is then cooled using heat transfer plates and then released. For this reason, TSS is not a filtering technology, as it does not trap or remove particles but uses heat sterilisation technology to destroy micro- organisms. TSS does not emit harmful by-products and also reduces the concentration of ozone in the atmosphere.</w:t>
      </w:r>
      <w:hyperlink r:id="rId419" w:anchor="cite_note-3" w:history="1">
        <w:r w:rsidRPr="00284E6A">
          <w:rPr>
            <w:rStyle w:val="ac"/>
            <w:rFonts w:ascii="Times New Roman" w:hAnsi="Times New Roman" w:cs="Times New Roman"/>
            <w:color w:val="0B0080"/>
            <w:sz w:val="28"/>
            <w:szCs w:val="28"/>
            <w:vertAlign w:val="superscript"/>
            <w:lang w:val="en"/>
          </w:rPr>
          <w:t>[3]</w:t>
        </w:r>
      </w:hyperlink>
    </w:p>
    <w:p w:rsidR="00A115FA" w:rsidRPr="00284E6A" w:rsidRDefault="009D4A0E" w:rsidP="009C6833">
      <w:pPr>
        <w:widowControl/>
        <w:numPr>
          <w:ilvl w:val="0"/>
          <w:numId w:val="47"/>
        </w:numPr>
        <w:spacing w:before="100" w:beforeAutospacing="1" w:after="24"/>
        <w:ind w:left="0" w:firstLine="720"/>
        <w:jc w:val="both"/>
        <w:rPr>
          <w:rFonts w:ascii="Times New Roman" w:hAnsi="Times New Roman" w:cs="Times New Roman"/>
          <w:sz w:val="28"/>
          <w:szCs w:val="28"/>
          <w:lang w:val="en"/>
        </w:rPr>
      </w:pPr>
      <w:hyperlink r:id="rId420" w:tooltip="Ultraviolet germicidal irradiation" w:history="1">
        <w:r w:rsidR="00A115FA" w:rsidRPr="00284E6A">
          <w:rPr>
            <w:rStyle w:val="ac"/>
            <w:rFonts w:ascii="Times New Roman" w:hAnsi="Times New Roman" w:cs="Times New Roman"/>
            <w:color w:val="0B0080"/>
            <w:sz w:val="28"/>
            <w:szCs w:val="28"/>
            <w:lang w:val="en"/>
          </w:rPr>
          <w:t>Ultraviolet germicidal irradiation</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 UVGI can be used to sterilize air that passes UV lamps via forced air. Air purification UVGI systems can be freestanding units with shielded UV lamps that use a fan to force air past the UV light. Other systems are installed in forced air systems so that the circulation for the premises moves micro-organisms past the lamps. Key to this form of sterilization is placement of the UV lamps and a good filtration system to remove the dead micro-organisms. For example, forced air systems by design impede line-of-sight, thus creating areas of the environment that will be shaded from the UV light. However, a UV lamp placed at the coils and drainpan of cooling system will keep micro-organisms from forming in these naturally damp places. The most effective method for treating the air rather than the coils is in-line duct systems, these systems are placed in the center of the duct and parallel to the air flow.</w:t>
      </w:r>
    </w:p>
    <w:p w:rsidR="00A115FA" w:rsidRPr="00284E6A" w:rsidRDefault="009D4A0E" w:rsidP="009C6833">
      <w:pPr>
        <w:widowControl/>
        <w:numPr>
          <w:ilvl w:val="0"/>
          <w:numId w:val="48"/>
        </w:numPr>
        <w:spacing w:before="100" w:beforeAutospacing="1" w:after="24"/>
        <w:ind w:left="0" w:firstLine="720"/>
        <w:jc w:val="both"/>
        <w:rPr>
          <w:rFonts w:ascii="Times New Roman" w:hAnsi="Times New Roman" w:cs="Times New Roman"/>
          <w:sz w:val="28"/>
          <w:szCs w:val="28"/>
          <w:lang w:val="en"/>
        </w:rPr>
      </w:pPr>
      <w:hyperlink r:id="rId421" w:tooltip="Air filter" w:history="1">
        <w:r w:rsidR="00A115FA" w:rsidRPr="00284E6A">
          <w:rPr>
            <w:rStyle w:val="ac"/>
            <w:rFonts w:ascii="Times New Roman" w:hAnsi="Times New Roman" w:cs="Times New Roman"/>
            <w:color w:val="0B0080"/>
            <w:sz w:val="28"/>
            <w:szCs w:val="28"/>
            <w:lang w:val="en"/>
          </w:rPr>
          <w:t>Filter</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 based purification traps airborne particles by size exclusion. Air is forced through a filter and particles are physically captured by the filter.</w:t>
      </w:r>
    </w:p>
    <w:p w:rsidR="00A115FA" w:rsidRPr="00284E6A" w:rsidRDefault="009D4A0E" w:rsidP="00A115FA">
      <w:pPr>
        <w:spacing w:after="24"/>
        <w:ind w:firstLine="720"/>
        <w:jc w:val="both"/>
        <w:rPr>
          <w:rFonts w:ascii="Times New Roman" w:hAnsi="Times New Roman" w:cs="Times New Roman"/>
          <w:sz w:val="28"/>
          <w:szCs w:val="28"/>
          <w:lang w:val="en"/>
        </w:rPr>
      </w:pPr>
      <w:hyperlink r:id="rId422" w:tooltip="HEPA" w:history="1">
        <w:r w:rsidR="00A115FA" w:rsidRPr="00284E6A">
          <w:rPr>
            <w:rStyle w:val="ac"/>
            <w:rFonts w:ascii="Times New Roman" w:hAnsi="Times New Roman" w:cs="Times New Roman"/>
            <w:color w:val="0B0080"/>
            <w:sz w:val="28"/>
            <w:szCs w:val="28"/>
            <w:lang w:val="en"/>
          </w:rPr>
          <w:t>HEPA</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filters remove at most 99.97% of 0.3-micrometer particles, and are usually more effective for particles which are larger. HEPA purifiers which filter all the air going into a</w:t>
      </w:r>
      <w:r w:rsidR="00A115FA" w:rsidRPr="00284E6A">
        <w:rPr>
          <w:rStyle w:val="apple-converted-space"/>
          <w:rFonts w:ascii="Times New Roman" w:hAnsi="Times New Roman" w:cs="Times New Roman"/>
          <w:sz w:val="28"/>
          <w:szCs w:val="28"/>
          <w:lang w:val="en"/>
        </w:rPr>
        <w:t> </w:t>
      </w:r>
      <w:hyperlink r:id="rId423" w:tooltip="Clean room" w:history="1">
        <w:r w:rsidR="00A115FA" w:rsidRPr="00284E6A">
          <w:rPr>
            <w:rStyle w:val="ac"/>
            <w:rFonts w:ascii="Times New Roman" w:hAnsi="Times New Roman" w:cs="Times New Roman"/>
            <w:color w:val="0B0080"/>
            <w:sz w:val="28"/>
            <w:szCs w:val="28"/>
            <w:lang w:val="en"/>
          </w:rPr>
          <w:t>clean room</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must be arranged so that no air bypasses the HEPA filter. In dusty environments, a HEPA filter may follow an easily cleaned conventional filter (prefilter) which removes coarser impurities so that the HEPA filter needs cleaning or replacing less frequently. HEPA filters do not generate ozone or harmful byproducts.</w:t>
      </w:r>
    </w:p>
    <w:p w:rsidR="00A115FA" w:rsidRPr="00284E6A" w:rsidRDefault="00A115FA" w:rsidP="00A115FA">
      <w:pPr>
        <w:spacing w:after="24"/>
        <w:ind w:firstLine="720"/>
        <w:jc w:val="both"/>
        <w:rPr>
          <w:rFonts w:ascii="Times New Roman" w:hAnsi="Times New Roman" w:cs="Times New Roman"/>
          <w:sz w:val="28"/>
          <w:szCs w:val="28"/>
          <w:lang w:val="en"/>
        </w:rPr>
      </w:pPr>
      <w:r w:rsidRPr="00284E6A">
        <w:rPr>
          <w:rFonts w:ascii="Times New Roman" w:hAnsi="Times New Roman" w:cs="Times New Roman"/>
          <w:sz w:val="28"/>
          <w:szCs w:val="28"/>
          <w:lang w:val="en"/>
        </w:rPr>
        <w:t>Filter for HVAC at</w:t>
      </w:r>
      <w:r w:rsidRPr="00284E6A">
        <w:rPr>
          <w:rStyle w:val="apple-converted-space"/>
          <w:rFonts w:ascii="Times New Roman" w:hAnsi="Times New Roman" w:cs="Times New Roman"/>
          <w:sz w:val="28"/>
          <w:szCs w:val="28"/>
          <w:lang w:val="en"/>
        </w:rPr>
        <w:t> </w:t>
      </w:r>
      <w:hyperlink r:id="rId424" w:tooltip="Minimum Efficiency Reporting Value" w:history="1">
        <w:r w:rsidRPr="00284E6A">
          <w:rPr>
            <w:rStyle w:val="ac"/>
            <w:rFonts w:ascii="Times New Roman" w:hAnsi="Times New Roman" w:cs="Times New Roman"/>
            <w:color w:val="0B0080"/>
            <w:sz w:val="28"/>
            <w:szCs w:val="28"/>
            <w:lang w:val="en"/>
          </w:rPr>
          <w:t>MERV</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14 or above are rated to remove airborne particles of 0.3 micrometers or larger. A high efficiency MERV 14 filter has a capture rate of at least 75% for particles between 0.3 to 1.0 micrometers. Although the capture rate of a MERV filter is lower than that of a HEPA filter, a central air system can move significantly more air in the same period of time. Using a high-grade MERV filter can be more effective than using a high-powered HEPA machine at a fraction of the initial capital expenditure. Unfortunately, most furnace filters are slid in place without an</w:t>
      </w:r>
      <w:r w:rsidRPr="00284E6A">
        <w:rPr>
          <w:rStyle w:val="apple-converted-space"/>
          <w:rFonts w:ascii="Times New Roman" w:hAnsi="Times New Roman" w:cs="Times New Roman"/>
          <w:sz w:val="28"/>
          <w:szCs w:val="28"/>
          <w:lang w:val="en"/>
        </w:rPr>
        <w:t> </w:t>
      </w:r>
      <w:hyperlink r:id="rId425" w:tooltip="Hermetic seal" w:history="1">
        <w:r w:rsidRPr="00284E6A">
          <w:rPr>
            <w:rStyle w:val="ac"/>
            <w:rFonts w:ascii="Times New Roman" w:hAnsi="Times New Roman" w:cs="Times New Roman"/>
            <w:color w:val="0B0080"/>
            <w:sz w:val="28"/>
            <w:szCs w:val="28"/>
            <w:lang w:val="en"/>
          </w:rPr>
          <w:t>airtight seal</w:t>
        </w:r>
      </w:hyperlink>
      <w:r w:rsidRPr="00284E6A">
        <w:rPr>
          <w:rFonts w:ascii="Times New Roman" w:hAnsi="Times New Roman" w:cs="Times New Roman"/>
          <w:sz w:val="28"/>
          <w:szCs w:val="28"/>
          <w:lang w:val="en"/>
        </w:rPr>
        <w:t>, which allows air to pass around the filters. This problem is worse for the higher-efficiency MERV filters because of the increase in</w:t>
      </w:r>
      <w:r w:rsidRPr="00284E6A">
        <w:rPr>
          <w:rStyle w:val="apple-converted-space"/>
          <w:rFonts w:ascii="Times New Roman" w:hAnsi="Times New Roman" w:cs="Times New Roman"/>
          <w:sz w:val="28"/>
          <w:szCs w:val="28"/>
          <w:lang w:val="en"/>
        </w:rPr>
        <w:t> </w:t>
      </w:r>
      <w:hyperlink r:id="rId426" w:tooltip="Drag (physics)" w:history="1">
        <w:r w:rsidRPr="00284E6A">
          <w:rPr>
            <w:rStyle w:val="ac"/>
            <w:rFonts w:ascii="Times New Roman" w:hAnsi="Times New Roman" w:cs="Times New Roman"/>
            <w:color w:val="0B0080"/>
            <w:sz w:val="28"/>
            <w:szCs w:val="28"/>
            <w:lang w:val="en"/>
          </w:rPr>
          <w:t>air resistance</w:t>
        </w:r>
      </w:hyperlink>
      <w:r w:rsidRPr="00284E6A">
        <w:rPr>
          <w:rFonts w:ascii="Times New Roman" w:hAnsi="Times New Roman" w:cs="Times New Roman"/>
          <w:sz w:val="28"/>
          <w:szCs w:val="28"/>
          <w:lang w:val="en"/>
        </w:rPr>
        <w:t>. Higher-efficiency MERV filters are usually denser and increase air resistance in the central system, requiring a greater</w:t>
      </w:r>
      <w:r w:rsidRPr="00284E6A">
        <w:rPr>
          <w:rStyle w:val="apple-converted-space"/>
          <w:rFonts w:ascii="Times New Roman" w:hAnsi="Times New Roman" w:cs="Times New Roman"/>
          <w:sz w:val="28"/>
          <w:szCs w:val="28"/>
          <w:lang w:val="en"/>
        </w:rPr>
        <w:t> </w:t>
      </w:r>
      <w:hyperlink r:id="rId427" w:tooltip="Air pressure" w:history="1">
        <w:r w:rsidRPr="00284E6A">
          <w:rPr>
            <w:rStyle w:val="ac"/>
            <w:rFonts w:ascii="Times New Roman" w:hAnsi="Times New Roman" w:cs="Times New Roman"/>
            <w:color w:val="0B0080"/>
            <w:sz w:val="28"/>
            <w:szCs w:val="28"/>
            <w:lang w:val="en"/>
          </w:rPr>
          <w:t>air pressure</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drop and consequently increasing energy costs.</w:t>
      </w:r>
    </w:p>
    <w:p w:rsidR="00A115FA" w:rsidRPr="00284E6A" w:rsidRDefault="009D4A0E" w:rsidP="009C6833">
      <w:pPr>
        <w:widowControl/>
        <w:numPr>
          <w:ilvl w:val="0"/>
          <w:numId w:val="49"/>
        </w:numPr>
        <w:spacing w:before="100" w:beforeAutospacing="1" w:after="24"/>
        <w:ind w:left="0" w:firstLine="720"/>
        <w:jc w:val="both"/>
        <w:rPr>
          <w:rFonts w:ascii="Times New Roman" w:hAnsi="Times New Roman" w:cs="Times New Roman"/>
          <w:sz w:val="28"/>
          <w:szCs w:val="28"/>
          <w:lang w:val="en"/>
        </w:rPr>
      </w:pPr>
      <w:hyperlink r:id="rId428" w:tooltip="Activated carbon" w:history="1">
        <w:r w:rsidR="00A115FA" w:rsidRPr="00284E6A">
          <w:rPr>
            <w:rStyle w:val="ac"/>
            <w:rFonts w:ascii="Times New Roman" w:hAnsi="Times New Roman" w:cs="Times New Roman"/>
            <w:color w:val="0B0080"/>
            <w:sz w:val="28"/>
            <w:szCs w:val="28"/>
            <w:lang w:val="en"/>
          </w:rPr>
          <w:t>Activated carbon</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is a</w:t>
      </w:r>
      <w:r w:rsidR="00A115FA" w:rsidRPr="00284E6A">
        <w:rPr>
          <w:rStyle w:val="apple-converted-space"/>
          <w:rFonts w:ascii="Times New Roman" w:hAnsi="Times New Roman" w:cs="Times New Roman"/>
          <w:sz w:val="28"/>
          <w:szCs w:val="28"/>
          <w:lang w:val="en"/>
        </w:rPr>
        <w:t> </w:t>
      </w:r>
      <w:hyperlink r:id="rId429" w:tooltip="Porosity" w:history="1">
        <w:r w:rsidR="00A115FA" w:rsidRPr="00284E6A">
          <w:rPr>
            <w:rStyle w:val="ac"/>
            <w:rFonts w:ascii="Times New Roman" w:hAnsi="Times New Roman" w:cs="Times New Roman"/>
            <w:color w:val="0B0080"/>
            <w:sz w:val="28"/>
            <w:szCs w:val="28"/>
            <w:lang w:val="en"/>
          </w:rPr>
          <w:t>porous</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material that can</w:t>
      </w:r>
      <w:r w:rsidR="00A115FA" w:rsidRPr="00284E6A">
        <w:rPr>
          <w:rStyle w:val="apple-converted-space"/>
          <w:rFonts w:ascii="Times New Roman" w:hAnsi="Times New Roman" w:cs="Times New Roman"/>
          <w:sz w:val="28"/>
          <w:szCs w:val="28"/>
          <w:lang w:val="en"/>
        </w:rPr>
        <w:t> </w:t>
      </w:r>
      <w:hyperlink r:id="rId430" w:tooltip="Adsorption" w:history="1">
        <w:r w:rsidR="00A115FA" w:rsidRPr="00284E6A">
          <w:rPr>
            <w:rStyle w:val="ac"/>
            <w:rFonts w:ascii="Times New Roman" w:hAnsi="Times New Roman" w:cs="Times New Roman"/>
            <w:color w:val="0B0080"/>
            <w:sz w:val="28"/>
            <w:szCs w:val="28"/>
            <w:lang w:val="en"/>
          </w:rPr>
          <w:t>adsorb</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volatile chemicals on a molecular basis, but does not remove larger particles. The absorption process when using activated carbon must reach equilibrium thus it may be difficult to completely remove contaminants.</w:t>
      </w:r>
      <w:hyperlink r:id="rId431" w:anchor="cite_note-zeltner-4" w:history="1">
        <w:r w:rsidR="00A115FA" w:rsidRPr="00284E6A">
          <w:rPr>
            <w:rStyle w:val="ac"/>
            <w:rFonts w:ascii="Times New Roman" w:hAnsi="Times New Roman" w:cs="Times New Roman"/>
            <w:color w:val="0B0080"/>
            <w:sz w:val="28"/>
            <w:szCs w:val="28"/>
            <w:vertAlign w:val="superscript"/>
            <w:lang w:val="en"/>
          </w:rPr>
          <w:t>[4]</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Activated carbon is merely a process of changing contaminants from a gaseous phase to a solid phase, when aggravated or disturbed contaminants can be regenerated in indoor air sources.</w:t>
      </w:r>
      <w:hyperlink r:id="rId432" w:anchor="cite_note-lee-5" w:history="1">
        <w:r w:rsidR="00A115FA" w:rsidRPr="00284E6A">
          <w:rPr>
            <w:rStyle w:val="ac"/>
            <w:rFonts w:ascii="Times New Roman" w:hAnsi="Times New Roman" w:cs="Times New Roman"/>
            <w:color w:val="0B0080"/>
            <w:sz w:val="28"/>
            <w:szCs w:val="28"/>
            <w:vertAlign w:val="superscript"/>
            <w:lang w:val="en"/>
          </w:rPr>
          <w:t>[5]</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Activated carbon can be used at room temperature and has a long history of commercial use. It is normally used in conjunction with other filter technology, especially with HEPA. Other materials can also absorb chemicals, but at higher cost.</w:t>
      </w:r>
    </w:p>
    <w:p w:rsidR="00A115FA" w:rsidRPr="00284E6A" w:rsidRDefault="00A115FA" w:rsidP="009C6833">
      <w:pPr>
        <w:widowControl/>
        <w:numPr>
          <w:ilvl w:val="0"/>
          <w:numId w:val="50"/>
        </w:numPr>
        <w:spacing w:before="100" w:beforeAutospacing="1" w:after="24"/>
        <w:ind w:left="0" w:firstLine="720"/>
        <w:jc w:val="both"/>
        <w:rPr>
          <w:rFonts w:ascii="Times New Roman" w:hAnsi="Times New Roman" w:cs="Times New Roman"/>
          <w:sz w:val="28"/>
          <w:szCs w:val="28"/>
          <w:lang w:val="en"/>
        </w:rPr>
      </w:pPr>
      <w:r w:rsidRPr="00284E6A">
        <w:rPr>
          <w:rFonts w:ascii="Times New Roman" w:hAnsi="Times New Roman" w:cs="Times New Roman"/>
          <w:sz w:val="28"/>
          <w:szCs w:val="28"/>
          <w:lang w:val="en"/>
        </w:rPr>
        <w:lastRenderedPageBreak/>
        <w:t>Polarized-Media Electronic Air Cleaners use an active electronically-enhanced media to combine elements of both electronic air cleaners and passive mechanical filters. Most Polarized-Media Electronic Air Cleaners convert 24 volt current to safe DC voltage to establish the polarized electric field. Airborne particles become polarized as they pass through the electric field and adhere to a disposable fiber media pad. Ultra-fine particles (UFPs) that are not collected on their initial pass through the media pad are polarized and agglomerate to other particles, odor and VOC molecules and are collected on subsequent passes. The efficiency of Polarized-Media Electronic Air Cleaners increases as they load, providing high efficiency filtration with air resistance typically equal to or less than passive filters. Polarized-media technology is non-ionizing which means no Ozone is produced.</w:t>
      </w:r>
    </w:p>
    <w:p w:rsidR="00A115FA" w:rsidRPr="00284E6A" w:rsidRDefault="00A115FA" w:rsidP="009C6833">
      <w:pPr>
        <w:widowControl/>
        <w:numPr>
          <w:ilvl w:val="0"/>
          <w:numId w:val="51"/>
        </w:numPr>
        <w:spacing w:before="100" w:beforeAutospacing="1" w:after="24"/>
        <w:ind w:left="0" w:firstLine="720"/>
        <w:jc w:val="both"/>
        <w:rPr>
          <w:rFonts w:ascii="Times New Roman" w:hAnsi="Times New Roman" w:cs="Times New Roman"/>
          <w:sz w:val="28"/>
          <w:szCs w:val="28"/>
          <w:lang w:val="en"/>
        </w:rPr>
      </w:pPr>
      <w:r w:rsidRPr="00284E6A">
        <w:rPr>
          <w:rFonts w:ascii="Times New Roman" w:hAnsi="Times New Roman" w:cs="Times New Roman"/>
          <w:sz w:val="28"/>
          <w:szCs w:val="28"/>
          <w:lang w:val="en"/>
        </w:rPr>
        <w:t>Photocatalytic Oxidation (PCO) is an emerging technology in the HVAC industry.</w:t>
      </w:r>
      <w:hyperlink r:id="rId433" w:anchor="cite_note-6" w:history="1">
        <w:r w:rsidRPr="00284E6A">
          <w:rPr>
            <w:rStyle w:val="ac"/>
            <w:rFonts w:ascii="Times New Roman" w:hAnsi="Times New Roman" w:cs="Times New Roman"/>
            <w:color w:val="0B0080"/>
            <w:sz w:val="28"/>
            <w:szCs w:val="28"/>
            <w:vertAlign w:val="superscript"/>
            <w:lang w:val="en"/>
          </w:rPr>
          <w:t>[6]</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In addition to the prospect of Indoor Air Quality (IAQ) benefits, it has the added potential for limiting the introduction of unconditioned air to the building space, thereby presenting an opportunity to achieve energy savings over previous prescriptive designs. As of May 2009</w:t>
      </w:r>
      <w:hyperlink r:id="rId434" w:anchor="cite_note-7" w:history="1">
        <w:r w:rsidRPr="00284E6A">
          <w:rPr>
            <w:rStyle w:val="ac"/>
            <w:rFonts w:ascii="Times New Roman" w:hAnsi="Times New Roman" w:cs="Times New Roman"/>
            <w:color w:val="0B0080"/>
            <w:sz w:val="28"/>
            <w:szCs w:val="28"/>
            <w:vertAlign w:val="superscript"/>
            <w:lang w:val="en"/>
          </w:rPr>
          <w:t>[7</w:t>
        </w:r>
        <w:proofErr w:type="gramStart"/>
        <w:r w:rsidRPr="00284E6A">
          <w:rPr>
            <w:rStyle w:val="ac"/>
            <w:rFonts w:ascii="Times New Roman" w:hAnsi="Times New Roman" w:cs="Times New Roman"/>
            <w:color w:val="0B0080"/>
            <w:sz w:val="28"/>
            <w:szCs w:val="28"/>
            <w:vertAlign w:val="superscript"/>
            <w:lang w:val="en"/>
          </w:rPr>
          <w:t>]</w:t>
        </w:r>
        <w:proofErr w:type="gramEnd"/>
      </w:hyperlink>
      <w:hyperlink r:id="rId435" w:anchor="cite_note-8" w:history="1">
        <w:r w:rsidRPr="00284E6A">
          <w:rPr>
            <w:rStyle w:val="ac"/>
            <w:rFonts w:ascii="Times New Roman" w:hAnsi="Times New Roman" w:cs="Times New Roman"/>
            <w:color w:val="0B0080"/>
            <w:sz w:val="28"/>
            <w:szCs w:val="28"/>
            <w:vertAlign w:val="superscript"/>
            <w:lang w:val="en"/>
          </w:rPr>
          <w:t>[8]</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there was no more disputable concern raised by the Lawrence Berkeley National Laboratory data that PCO may significantly increase the amount of formaldehyde in real indoor environments.</w:t>
      </w:r>
      <w:hyperlink r:id="rId436" w:anchor="cite_note-9" w:history="1">
        <w:r w:rsidRPr="00284E6A">
          <w:rPr>
            <w:rStyle w:val="ac"/>
            <w:rFonts w:ascii="Times New Roman" w:hAnsi="Times New Roman" w:cs="Times New Roman"/>
            <w:color w:val="0B0080"/>
            <w:sz w:val="28"/>
            <w:szCs w:val="28"/>
            <w:vertAlign w:val="superscript"/>
            <w:lang w:val="en"/>
          </w:rPr>
          <w:t>[9]</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As with other advanced technologies, sound engineering principles and practices should be employed by the HVAC designer to ensure proper application of the technology.</w:t>
      </w:r>
      <w:r w:rsidRPr="00284E6A">
        <w:rPr>
          <w:rStyle w:val="apple-converted-space"/>
          <w:rFonts w:ascii="Times New Roman" w:hAnsi="Times New Roman" w:cs="Times New Roman"/>
          <w:sz w:val="28"/>
          <w:szCs w:val="28"/>
          <w:lang w:val="en"/>
        </w:rPr>
        <w:t> </w:t>
      </w:r>
      <w:hyperlink r:id="rId437" w:tooltip="Photocatalysis" w:history="1">
        <w:r w:rsidRPr="00284E6A">
          <w:rPr>
            <w:rStyle w:val="ac"/>
            <w:rFonts w:ascii="Times New Roman" w:hAnsi="Times New Roman" w:cs="Times New Roman"/>
            <w:color w:val="0B0080"/>
            <w:sz w:val="28"/>
            <w:szCs w:val="28"/>
            <w:lang w:val="en"/>
          </w:rPr>
          <w:t>Photocatalytic</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oxidation systems are able to completely oxidize and degrade organic contaminants. For example, Volatile Organic Compounds found low concentrations within a few hundred ppmv or less are the most likely to be completely oxidized.</w:t>
      </w:r>
      <w:hyperlink r:id="rId438" w:anchor="cite_note-zeltner-4" w:history="1">
        <w:r w:rsidRPr="00284E6A">
          <w:rPr>
            <w:rStyle w:val="ac"/>
            <w:rFonts w:ascii="Times New Roman" w:hAnsi="Times New Roman" w:cs="Times New Roman"/>
            <w:color w:val="0B0080"/>
            <w:sz w:val="28"/>
            <w:szCs w:val="28"/>
            <w:vertAlign w:val="superscript"/>
            <w:lang w:val="en"/>
          </w:rPr>
          <w:t>[4]</w:t>
        </w:r>
      </w:hyperlink>
      <w:r w:rsidRPr="00284E6A">
        <w:rPr>
          <w:rFonts w:ascii="Times New Roman" w:hAnsi="Times New Roman" w:cs="Times New Roman"/>
          <w:sz w:val="28"/>
          <w:szCs w:val="28"/>
          <w:lang w:val="en"/>
        </w:rPr>
        <w:t>(PCO) uses short-wave</w:t>
      </w:r>
      <w:r w:rsidRPr="00284E6A">
        <w:rPr>
          <w:rStyle w:val="apple-converted-space"/>
          <w:rFonts w:ascii="Times New Roman" w:hAnsi="Times New Roman" w:cs="Times New Roman"/>
          <w:sz w:val="28"/>
          <w:szCs w:val="28"/>
          <w:lang w:val="en"/>
        </w:rPr>
        <w:t> </w:t>
      </w:r>
      <w:hyperlink r:id="rId439" w:tooltip="Ultraviolet" w:history="1">
        <w:r w:rsidRPr="00284E6A">
          <w:rPr>
            <w:rStyle w:val="ac"/>
            <w:rFonts w:ascii="Times New Roman" w:hAnsi="Times New Roman" w:cs="Times New Roman"/>
            <w:color w:val="0B0080"/>
            <w:sz w:val="28"/>
            <w:szCs w:val="28"/>
            <w:lang w:val="en"/>
          </w:rPr>
          <w:t>ultraviolet</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light (UVC), commonly used for</w:t>
      </w:r>
      <w:r w:rsidRPr="00284E6A">
        <w:rPr>
          <w:rStyle w:val="apple-converted-space"/>
          <w:rFonts w:ascii="Times New Roman" w:hAnsi="Times New Roman" w:cs="Times New Roman"/>
          <w:sz w:val="28"/>
          <w:szCs w:val="28"/>
          <w:lang w:val="en"/>
        </w:rPr>
        <w:t> </w:t>
      </w:r>
      <w:hyperlink r:id="rId440" w:tooltip="Sterilization (microbiology)" w:history="1">
        <w:r w:rsidRPr="00284E6A">
          <w:rPr>
            <w:rStyle w:val="ac"/>
            <w:rFonts w:ascii="Times New Roman" w:hAnsi="Times New Roman" w:cs="Times New Roman"/>
            <w:color w:val="0B0080"/>
            <w:sz w:val="28"/>
            <w:szCs w:val="28"/>
            <w:lang w:val="en"/>
          </w:rPr>
          <w:t>sterilization</w:t>
        </w:r>
      </w:hyperlink>
      <w:r w:rsidRPr="00284E6A">
        <w:rPr>
          <w:rFonts w:ascii="Times New Roman" w:hAnsi="Times New Roman" w:cs="Times New Roman"/>
          <w:sz w:val="28"/>
          <w:szCs w:val="28"/>
          <w:lang w:val="en"/>
        </w:rPr>
        <w:t>, to energize the catalyst (usually titanium dioxide (TiO2)</w:t>
      </w:r>
      <w:hyperlink r:id="rId441" w:anchor="cite_note-10" w:history="1">
        <w:r w:rsidRPr="00284E6A">
          <w:rPr>
            <w:rStyle w:val="ac"/>
            <w:rFonts w:ascii="Times New Roman" w:hAnsi="Times New Roman" w:cs="Times New Roman"/>
            <w:color w:val="0B0080"/>
            <w:sz w:val="28"/>
            <w:szCs w:val="28"/>
            <w:vertAlign w:val="superscript"/>
            <w:lang w:val="en"/>
          </w:rPr>
          <w:t>[10]</w:t>
        </w:r>
      </w:hyperlink>
      <w:r w:rsidRPr="00284E6A">
        <w:rPr>
          <w:rFonts w:ascii="Times New Roman" w:hAnsi="Times New Roman" w:cs="Times New Roman"/>
          <w:sz w:val="28"/>
          <w:szCs w:val="28"/>
          <w:lang w:val="en"/>
        </w:rPr>
        <w:t>) and oxidize</w:t>
      </w:r>
      <w:r w:rsidRPr="00284E6A">
        <w:rPr>
          <w:rStyle w:val="apple-converted-space"/>
          <w:rFonts w:ascii="Times New Roman" w:hAnsi="Times New Roman" w:cs="Times New Roman"/>
          <w:sz w:val="28"/>
          <w:szCs w:val="28"/>
          <w:lang w:val="en"/>
        </w:rPr>
        <w:t> </w:t>
      </w:r>
      <w:hyperlink r:id="rId442" w:tooltip="Bacteria" w:history="1">
        <w:r w:rsidRPr="00284E6A">
          <w:rPr>
            <w:rStyle w:val="ac"/>
            <w:rFonts w:ascii="Times New Roman" w:hAnsi="Times New Roman" w:cs="Times New Roman"/>
            <w:color w:val="0B0080"/>
            <w:sz w:val="28"/>
            <w:szCs w:val="28"/>
            <w:lang w:val="en"/>
          </w:rPr>
          <w:t>bacteria</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and</w:t>
      </w:r>
      <w:hyperlink r:id="rId443" w:tooltip="Virus" w:history="1">
        <w:r w:rsidRPr="00284E6A">
          <w:rPr>
            <w:rStyle w:val="ac"/>
            <w:rFonts w:ascii="Times New Roman" w:hAnsi="Times New Roman" w:cs="Times New Roman"/>
            <w:color w:val="0B0080"/>
            <w:sz w:val="28"/>
            <w:szCs w:val="28"/>
            <w:lang w:val="en"/>
          </w:rPr>
          <w:t>viruses</w:t>
        </w:r>
      </w:hyperlink>
      <w:r w:rsidRPr="00284E6A">
        <w:rPr>
          <w:rFonts w:ascii="Times New Roman" w:hAnsi="Times New Roman" w:cs="Times New Roman"/>
          <w:sz w:val="28"/>
          <w:szCs w:val="28"/>
          <w:lang w:val="en"/>
        </w:rPr>
        <w:t>.</w:t>
      </w:r>
      <w:hyperlink r:id="rId444" w:anchor="cite_note-11" w:history="1">
        <w:r w:rsidRPr="00284E6A">
          <w:rPr>
            <w:rStyle w:val="ac"/>
            <w:rFonts w:ascii="Times New Roman" w:hAnsi="Times New Roman" w:cs="Times New Roman"/>
            <w:color w:val="0B0080"/>
            <w:sz w:val="28"/>
            <w:szCs w:val="28"/>
            <w:vertAlign w:val="superscript"/>
            <w:lang w:val="en"/>
          </w:rPr>
          <w:t>[11]</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PCO in-duct units can be mounted to an existing forced-air</w:t>
      </w:r>
      <w:r w:rsidRPr="00284E6A">
        <w:rPr>
          <w:rStyle w:val="apple-converted-space"/>
          <w:rFonts w:ascii="Times New Roman" w:hAnsi="Times New Roman" w:cs="Times New Roman"/>
          <w:sz w:val="28"/>
          <w:szCs w:val="28"/>
          <w:lang w:val="en"/>
        </w:rPr>
        <w:t> </w:t>
      </w:r>
      <w:hyperlink r:id="rId445" w:tooltip="HVAC" w:history="1">
        <w:r w:rsidRPr="00284E6A">
          <w:rPr>
            <w:rStyle w:val="ac"/>
            <w:rFonts w:ascii="Times New Roman" w:hAnsi="Times New Roman" w:cs="Times New Roman"/>
            <w:color w:val="0B0080"/>
            <w:sz w:val="28"/>
            <w:szCs w:val="28"/>
            <w:lang w:val="en"/>
          </w:rPr>
          <w:t>HVAC</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system. PCO is not a filtering technology, as it does not trap or remove particles. It is sometimes coupled with other filtering technologies for air purification. UV sterilization bulbs must be replaced about once a year; manufacturers may require periodic replacement as a condition of</w:t>
      </w:r>
      <w:r w:rsidRPr="00284E6A">
        <w:rPr>
          <w:rStyle w:val="apple-converted-space"/>
          <w:rFonts w:ascii="Times New Roman" w:hAnsi="Times New Roman" w:cs="Times New Roman"/>
          <w:sz w:val="28"/>
          <w:szCs w:val="28"/>
          <w:lang w:val="en"/>
        </w:rPr>
        <w:t> </w:t>
      </w:r>
      <w:hyperlink r:id="rId446" w:tooltip="Warranty" w:history="1">
        <w:r w:rsidRPr="00284E6A">
          <w:rPr>
            <w:rStyle w:val="ac"/>
            <w:rFonts w:ascii="Times New Roman" w:hAnsi="Times New Roman" w:cs="Times New Roman"/>
            <w:color w:val="0B0080"/>
            <w:sz w:val="28"/>
            <w:szCs w:val="28"/>
            <w:lang w:val="en"/>
          </w:rPr>
          <w:t>warranty</w:t>
        </w:r>
      </w:hyperlink>
      <w:r w:rsidRPr="00284E6A">
        <w:rPr>
          <w:rFonts w:ascii="Times New Roman" w:hAnsi="Times New Roman" w:cs="Times New Roman"/>
          <w:sz w:val="28"/>
          <w:szCs w:val="28"/>
          <w:lang w:val="en"/>
        </w:rPr>
        <w:t>. Photocatalytic Oxidation systems often have high commercial costs.</w:t>
      </w:r>
      <w:hyperlink r:id="rId447" w:anchor="cite_note-zeltner-4" w:history="1">
        <w:r w:rsidRPr="00284E6A">
          <w:rPr>
            <w:rStyle w:val="ac"/>
            <w:rFonts w:ascii="Times New Roman" w:hAnsi="Times New Roman" w:cs="Times New Roman"/>
            <w:color w:val="0B0080"/>
            <w:sz w:val="28"/>
            <w:szCs w:val="28"/>
            <w:vertAlign w:val="superscript"/>
            <w:lang w:val="en"/>
          </w:rPr>
          <w:t>[4]</w:t>
        </w:r>
      </w:hyperlink>
    </w:p>
    <w:p w:rsidR="00A115FA" w:rsidRPr="00284E6A" w:rsidRDefault="009D4A0E" w:rsidP="009C6833">
      <w:pPr>
        <w:widowControl/>
        <w:numPr>
          <w:ilvl w:val="0"/>
          <w:numId w:val="52"/>
        </w:numPr>
        <w:spacing w:before="100" w:beforeAutospacing="1" w:after="24"/>
        <w:ind w:left="0" w:firstLine="720"/>
        <w:jc w:val="both"/>
        <w:rPr>
          <w:rFonts w:ascii="Times New Roman" w:hAnsi="Times New Roman" w:cs="Times New Roman"/>
          <w:sz w:val="28"/>
          <w:szCs w:val="28"/>
          <w:lang w:val="en"/>
        </w:rPr>
      </w:pPr>
      <w:hyperlink r:id="rId448" w:tooltip="Air ionizer" w:history="1">
        <w:r w:rsidR="00A115FA" w:rsidRPr="00284E6A">
          <w:rPr>
            <w:rStyle w:val="ac"/>
            <w:rFonts w:ascii="Times New Roman" w:hAnsi="Times New Roman" w:cs="Times New Roman"/>
            <w:color w:val="0B0080"/>
            <w:sz w:val="28"/>
            <w:szCs w:val="28"/>
            <w:lang w:val="en"/>
          </w:rPr>
          <w:t xml:space="preserve">Ionizer </w:t>
        </w:r>
        <w:proofErr w:type="gramStart"/>
        <w:r w:rsidR="00A115FA" w:rsidRPr="00284E6A">
          <w:rPr>
            <w:rStyle w:val="ac"/>
            <w:rFonts w:ascii="Times New Roman" w:hAnsi="Times New Roman" w:cs="Times New Roman"/>
            <w:color w:val="0B0080"/>
            <w:sz w:val="28"/>
            <w:szCs w:val="28"/>
            <w:lang w:val="en"/>
          </w:rPr>
          <w:t>purifiers</w:t>
        </w:r>
        <w:proofErr w:type="gramEnd"/>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use charged electrical surfaces or needles to generate electrically charged air or gas</w:t>
      </w:r>
      <w:r w:rsidR="00A115FA" w:rsidRPr="00284E6A">
        <w:rPr>
          <w:rStyle w:val="apple-converted-space"/>
          <w:rFonts w:ascii="Times New Roman" w:hAnsi="Times New Roman" w:cs="Times New Roman"/>
          <w:sz w:val="28"/>
          <w:szCs w:val="28"/>
          <w:lang w:val="en"/>
        </w:rPr>
        <w:t> </w:t>
      </w:r>
      <w:hyperlink r:id="rId449" w:tooltip="Ion" w:history="1">
        <w:r w:rsidR="00A115FA" w:rsidRPr="00284E6A">
          <w:rPr>
            <w:rStyle w:val="ac"/>
            <w:rFonts w:ascii="Times New Roman" w:hAnsi="Times New Roman" w:cs="Times New Roman"/>
            <w:color w:val="0B0080"/>
            <w:sz w:val="28"/>
            <w:szCs w:val="28"/>
            <w:lang w:val="en"/>
          </w:rPr>
          <w:t>ions</w:t>
        </w:r>
      </w:hyperlink>
      <w:r w:rsidR="00A115FA" w:rsidRPr="00284E6A">
        <w:rPr>
          <w:rFonts w:ascii="Times New Roman" w:hAnsi="Times New Roman" w:cs="Times New Roman"/>
          <w:sz w:val="28"/>
          <w:szCs w:val="28"/>
          <w:lang w:val="en"/>
        </w:rPr>
        <w:t>. These ions attach to airborne particles which are then</w:t>
      </w:r>
      <w:r w:rsidR="00A115FA" w:rsidRPr="00284E6A">
        <w:rPr>
          <w:rStyle w:val="apple-converted-space"/>
          <w:rFonts w:ascii="Times New Roman" w:hAnsi="Times New Roman" w:cs="Times New Roman"/>
          <w:sz w:val="28"/>
          <w:szCs w:val="28"/>
          <w:lang w:val="en"/>
        </w:rPr>
        <w:t> </w:t>
      </w:r>
      <w:hyperlink r:id="rId450" w:tooltip="Electrostatic" w:history="1">
        <w:r w:rsidR="00A115FA" w:rsidRPr="00284E6A">
          <w:rPr>
            <w:rStyle w:val="ac"/>
            <w:rFonts w:ascii="Times New Roman" w:hAnsi="Times New Roman" w:cs="Times New Roman"/>
            <w:color w:val="0B0080"/>
            <w:sz w:val="28"/>
            <w:szCs w:val="28"/>
            <w:lang w:val="en"/>
          </w:rPr>
          <w:t>electrostatically</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attracted to a charged collector plate. This mechanism produces trace amounts of</w:t>
      </w:r>
      <w:r w:rsidR="00A115FA" w:rsidRPr="00284E6A">
        <w:rPr>
          <w:rStyle w:val="apple-converted-space"/>
          <w:rFonts w:ascii="Times New Roman" w:hAnsi="Times New Roman" w:cs="Times New Roman"/>
          <w:sz w:val="28"/>
          <w:szCs w:val="28"/>
          <w:lang w:val="en"/>
        </w:rPr>
        <w:t> </w:t>
      </w:r>
      <w:hyperlink r:id="rId451" w:tooltip="Ozone" w:history="1">
        <w:r w:rsidR="00A115FA" w:rsidRPr="00284E6A">
          <w:rPr>
            <w:rStyle w:val="ac"/>
            <w:rFonts w:ascii="Times New Roman" w:hAnsi="Times New Roman" w:cs="Times New Roman"/>
            <w:color w:val="0B0080"/>
            <w:sz w:val="28"/>
            <w:szCs w:val="28"/>
            <w:lang w:val="en"/>
          </w:rPr>
          <w:t>ozone</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and other oxidants as by-products.</w:t>
      </w:r>
      <w:hyperlink r:id="rId452" w:anchor="cite_note-ang-1" w:history="1">
        <w:r w:rsidR="00A115FA" w:rsidRPr="00284E6A">
          <w:rPr>
            <w:rStyle w:val="ac"/>
            <w:rFonts w:ascii="Times New Roman" w:hAnsi="Times New Roman" w:cs="Times New Roman"/>
            <w:color w:val="0B0080"/>
            <w:sz w:val="28"/>
            <w:szCs w:val="28"/>
            <w:vertAlign w:val="superscript"/>
            <w:lang w:val="en"/>
          </w:rPr>
          <w:t>[1]</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Most ionizers produce less than 0.05</w:t>
      </w:r>
      <w:r w:rsidR="00A115FA" w:rsidRPr="00284E6A">
        <w:rPr>
          <w:rStyle w:val="apple-converted-space"/>
          <w:rFonts w:ascii="Times New Roman" w:hAnsi="Times New Roman" w:cs="Times New Roman"/>
          <w:sz w:val="28"/>
          <w:szCs w:val="28"/>
          <w:lang w:val="en"/>
        </w:rPr>
        <w:t> </w:t>
      </w:r>
      <w:hyperlink r:id="rId453" w:tooltip="Parts per million" w:history="1">
        <w:r w:rsidR="00A115FA" w:rsidRPr="00284E6A">
          <w:rPr>
            <w:rStyle w:val="ac"/>
            <w:rFonts w:ascii="Times New Roman" w:hAnsi="Times New Roman" w:cs="Times New Roman"/>
            <w:color w:val="0B0080"/>
            <w:sz w:val="28"/>
            <w:szCs w:val="28"/>
            <w:lang w:val="en"/>
          </w:rPr>
          <w:t>ppm</w:t>
        </w:r>
      </w:hyperlink>
      <w:r w:rsidR="00A115FA" w:rsidRPr="00284E6A">
        <w:rPr>
          <w:rStyle w:val="apple-converted-space"/>
          <w:rFonts w:ascii="Times New Roman" w:hAnsi="Times New Roman" w:cs="Times New Roman"/>
          <w:sz w:val="28"/>
          <w:szCs w:val="28"/>
          <w:lang w:val="en"/>
        </w:rPr>
        <w:t> </w:t>
      </w:r>
      <w:r w:rsidR="00A115FA" w:rsidRPr="00284E6A">
        <w:rPr>
          <w:rFonts w:ascii="Times New Roman" w:hAnsi="Times New Roman" w:cs="Times New Roman"/>
          <w:sz w:val="28"/>
          <w:szCs w:val="28"/>
          <w:lang w:val="en"/>
        </w:rPr>
        <w:t>of ozone, an industrial safety standard. There are two major subdivisions: the fanless ionizer and fan-based ionizer. Fanless ionizers are noiseless and use little power, but are less efficient at air purification. Fan-based ionizers clean and distribute air much faster. Permanently mounted home and industrial ionizer purifiers are called</w:t>
      </w:r>
      <w:r w:rsidR="00A115FA" w:rsidRPr="00284E6A">
        <w:rPr>
          <w:rStyle w:val="apple-converted-space"/>
          <w:rFonts w:ascii="Times New Roman" w:hAnsi="Times New Roman" w:cs="Times New Roman"/>
          <w:sz w:val="28"/>
          <w:szCs w:val="28"/>
          <w:lang w:val="en"/>
        </w:rPr>
        <w:t> </w:t>
      </w:r>
      <w:hyperlink r:id="rId454" w:tooltip="Electrostatic precipitator" w:history="1">
        <w:r w:rsidR="00A115FA" w:rsidRPr="00284E6A">
          <w:rPr>
            <w:rStyle w:val="ac"/>
            <w:rFonts w:ascii="Times New Roman" w:hAnsi="Times New Roman" w:cs="Times New Roman"/>
            <w:color w:val="0B0080"/>
            <w:sz w:val="28"/>
            <w:szCs w:val="28"/>
            <w:lang w:val="en"/>
          </w:rPr>
          <w:t>electrostatic precipitators</w:t>
        </w:r>
      </w:hyperlink>
      <w:r w:rsidR="00A115FA" w:rsidRPr="00284E6A">
        <w:rPr>
          <w:rFonts w:ascii="Times New Roman" w:hAnsi="Times New Roman" w:cs="Times New Roman"/>
          <w:sz w:val="28"/>
          <w:szCs w:val="28"/>
          <w:lang w:val="en"/>
        </w:rPr>
        <w:t>.</w:t>
      </w:r>
    </w:p>
    <w:p w:rsidR="00A115FA" w:rsidRPr="00284E6A" w:rsidRDefault="00A115FA" w:rsidP="009C6833">
      <w:pPr>
        <w:widowControl/>
        <w:numPr>
          <w:ilvl w:val="0"/>
          <w:numId w:val="53"/>
        </w:numPr>
        <w:spacing w:before="100" w:beforeAutospacing="1" w:after="24"/>
        <w:ind w:left="0" w:firstLine="720"/>
        <w:jc w:val="both"/>
        <w:rPr>
          <w:rFonts w:ascii="Times New Roman" w:hAnsi="Times New Roman" w:cs="Times New Roman"/>
          <w:sz w:val="28"/>
          <w:szCs w:val="28"/>
          <w:lang w:val="en"/>
        </w:rPr>
      </w:pPr>
      <w:r w:rsidRPr="00284E6A">
        <w:rPr>
          <w:rFonts w:ascii="Times New Roman" w:hAnsi="Times New Roman" w:cs="Times New Roman"/>
          <w:sz w:val="28"/>
          <w:szCs w:val="28"/>
          <w:lang w:val="en"/>
        </w:rPr>
        <w:lastRenderedPageBreak/>
        <w:t>Ozone generators produce ozone, and are sometimes sold as whole house air cleaners. Unlike ionizers, ozone generators are designed to produce significant amounts of ozone, a strong</w:t>
      </w:r>
      <w:r w:rsidRPr="00284E6A">
        <w:rPr>
          <w:rStyle w:val="apple-converted-space"/>
          <w:rFonts w:ascii="Times New Roman" w:hAnsi="Times New Roman" w:cs="Times New Roman"/>
          <w:sz w:val="28"/>
          <w:szCs w:val="28"/>
          <w:lang w:val="en"/>
        </w:rPr>
        <w:t> </w:t>
      </w:r>
      <w:hyperlink r:id="rId455" w:tooltip="Oxidant" w:history="1">
        <w:r w:rsidRPr="00284E6A">
          <w:rPr>
            <w:rStyle w:val="ac"/>
            <w:rFonts w:ascii="Times New Roman" w:hAnsi="Times New Roman" w:cs="Times New Roman"/>
            <w:color w:val="0B0080"/>
            <w:sz w:val="28"/>
            <w:szCs w:val="28"/>
            <w:lang w:val="en"/>
          </w:rPr>
          <w:t>oxidant</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gas which can oxidize many other chemicals. The only safe use of ozone generators is in unoccupied rooms, utilising "shock treatment" commercial ozone generators that produce over 3000 mg of ozone per hour. Restoration contractors use these types of ozone generators to remove smoke odors after fire damage, musty smells after flooding,</w:t>
      </w:r>
      <w:r w:rsidRPr="00284E6A">
        <w:rPr>
          <w:rStyle w:val="apple-converted-space"/>
          <w:rFonts w:ascii="Times New Roman" w:hAnsi="Times New Roman" w:cs="Times New Roman"/>
          <w:sz w:val="28"/>
          <w:szCs w:val="28"/>
          <w:lang w:val="en"/>
        </w:rPr>
        <w:t> </w:t>
      </w:r>
      <w:hyperlink r:id="rId456" w:tooltip="Mold remediation" w:history="1">
        <w:r w:rsidRPr="00284E6A">
          <w:rPr>
            <w:rStyle w:val="ac"/>
            <w:rFonts w:ascii="Times New Roman" w:hAnsi="Times New Roman" w:cs="Times New Roman"/>
            <w:color w:val="0B0080"/>
            <w:sz w:val="28"/>
            <w:szCs w:val="28"/>
            <w:lang w:val="en"/>
          </w:rPr>
          <w:t>mold</w:t>
        </w:r>
      </w:hyperlink>
      <w:r w:rsidRPr="00284E6A">
        <w:rPr>
          <w:rStyle w:val="apple-converted-space"/>
          <w:rFonts w:ascii="Times New Roman" w:hAnsi="Times New Roman" w:cs="Times New Roman"/>
          <w:sz w:val="28"/>
          <w:szCs w:val="28"/>
          <w:lang w:val="en"/>
        </w:rPr>
        <w:t> </w:t>
      </w:r>
      <w:r w:rsidRPr="00284E6A">
        <w:rPr>
          <w:rFonts w:ascii="Times New Roman" w:hAnsi="Times New Roman" w:cs="Times New Roman"/>
          <w:sz w:val="28"/>
          <w:szCs w:val="28"/>
          <w:lang w:val="en"/>
        </w:rPr>
        <w:t>(including</w:t>
      </w:r>
      <w:r w:rsidRPr="00284E6A">
        <w:rPr>
          <w:rStyle w:val="apple-converted-space"/>
          <w:rFonts w:ascii="Times New Roman" w:hAnsi="Times New Roman" w:cs="Times New Roman"/>
          <w:sz w:val="28"/>
          <w:szCs w:val="28"/>
          <w:lang w:val="en"/>
        </w:rPr>
        <w:t> </w:t>
      </w:r>
      <w:hyperlink r:id="rId457" w:tooltip="Toxic mold" w:history="1">
        <w:r w:rsidRPr="00284E6A">
          <w:rPr>
            <w:rStyle w:val="ac"/>
            <w:rFonts w:ascii="Times New Roman" w:hAnsi="Times New Roman" w:cs="Times New Roman"/>
            <w:color w:val="0B0080"/>
            <w:sz w:val="28"/>
            <w:szCs w:val="28"/>
            <w:lang w:val="en"/>
          </w:rPr>
          <w:t>toxic molds</w:t>
        </w:r>
      </w:hyperlink>
      <w:r w:rsidRPr="00284E6A">
        <w:rPr>
          <w:rFonts w:ascii="Times New Roman" w:hAnsi="Times New Roman" w:cs="Times New Roman"/>
          <w:sz w:val="28"/>
          <w:szCs w:val="28"/>
          <w:lang w:val="en"/>
        </w:rPr>
        <w:t>), and the stench caused by decaying flesh which cannot be removed by bleach or anything else except for ozone. However, it is not healthy to breathe ozone gas, and one should use extreme caution when buying a room air purifier that also produces ozone.</w:t>
      </w:r>
      <w:hyperlink r:id="rId458" w:anchor="cite_note-12" w:history="1">
        <w:r w:rsidRPr="00284E6A">
          <w:rPr>
            <w:rStyle w:val="ac"/>
            <w:rFonts w:ascii="Times New Roman" w:hAnsi="Times New Roman" w:cs="Times New Roman"/>
            <w:color w:val="0B0080"/>
            <w:sz w:val="28"/>
            <w:szCs w:val="28"/>
            <w:vertAlign w:val="superscript"/>
            <w:lang w:val="en"/>
          </w:rPr>
          <w:t>[12]</w:t>
        </w:r>
      </w:hyperlink>
    </w:p>
    <w:p w:rsidR="00A115FA" w:rsidRPr="00284E6A" w:rsidRDefault="00A115FA" w:rsidP="00A115FA">
      <w:pPr>
        <w:ind w:firstLine="724"/>
        <w:jc w:val="center"/>
        <w:rPr>
          <w:rFonts w:ascii="Times New Roman" w:hAnsi="Times New Roman" w:cs="Times New Roman"/>
          <w:b/>
          <w:sz w:val="28"/>
          <w:szCs w:val="28"/>
        </w:rPr>
      </w:pPr>
    </w:p>
    <w:p w:rsidR="00A115FA" w:rsidRPr="00284E6A" w:rsidRDefault="00A115FA" w:rsidP="00A115FA">
      <w:pPr>
        <w:ind w:firstLine="724"/>
        <w:jc w:val="center"/>
        <w:rPr>
          <w:rStyle w:val="hps"/>
          <w:rFonts w:ascii="Times New Roman" w:hAnsi="Times New Roman" w:cs="Times New Roman"/>
          <w:b/>
          <w:sz w:val="28"/>
          <w:szCs w:val="28"/>
          <w:lang w:val="en"/>
        </w:rPr>
      </w:pPr>
      <w:proofErr w:type="gramStart"/>
      <w:r w:rsidRPr="00284E6A">
        <w:rPr>
          <w:rFonts w:ascii="Times New Roman" w:hAnsi="Times New Roman" w:cs="Times New Roman"/>
          <w:b/>
          <w:sz w:val="28"/>
          <w:szCs w:val="28"/>
        </w:rPr>
        <w:t>Lecture  29</w:t>
      </w:r>
      <w:proofErr w:type="gramEnd"/>
      <w:r w:rsidRPr="00284E6A">
        <w:rPr>
          <w:rFonts w:ascii="Times New Roman" w:hAnsi="Times New Roman" w:cs="Times New Roman"/>
          <w:b/>
          <w:sz w:val="28"/>
          <w:szCs w:val="28"/>
        </w:rPr>
        <w:t xml:space="preserve"> A</w:t>
      </w:r>
      <w:r w:rsidRPr="00284E6A">
        <w:rPr>
          <w:rStyle w:val="hps"/>
          <w:rFonts w:ascii="Times New Roman" w:hAnsi="Times New Roman" w:cs="Times New Roman"/>
          <w:b/>
          <w:sz w:val="28"/>
          <w:szCs w:val="28"/>
          <w:lang w:val="en"/>
        </w:rPr>
        <w:t xml:space="preserve">bsorption and </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adsorption cleaning</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devices</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Dehydration by absorption is usually applied for removal of large amounts of water. Several glycols can be used as an absorbing liquid, but trietylene glycol (TEG) is almost always used because it can be regenerated with a high purity and is less expensive than tetraethylene glycol (TREG), which could have been an alternative.</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In the absorption process, the water vapor in the gas flow is dissolved in a glycol, while gas and liquid flow counter-current in a glycol contactor. By flowing counter-current, the wet gas will first contact the richest glycol, which contains most water in solution. As flowing up the absorber, the leaner glycol is able to absorb additional amounts of water vapor from the gas. This counter-current flow enables gas to transfer a significant amount of water to the glycol and still approach equilibrium with the leanest glycol concentration. A flow diagram of the absorption dehydration process is shown in figure 3.</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3.5-4.4figure3.pdf: A flow diagram for a glycol dehydration process</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A glycol contactor consists of typically six to eight trays depending on the required dew point, and the temperature is usually kept below </w:t>
      </w:r>
      <w:smartTag w:uri="urn:schemas-microsoft-com:office:smarttags" w:element="metricconverter">
        <w:smartTagPr>
          <w:attr w:name="ProductID" w:val="38 ﾰC"/>
        </w:smartTagPr>
        <w:r w:rsidRPr="00284E6A">
          <w:rPr>
            <w:rFonts w:ascii="Times New Roman" w:hAnsi="Times New Roman" w:cs="Times New Roman"/>
            <w:sz w:val="28"/>
            <w:szCs w:val="28"/>
          </w:rPr>
          <w:t>38 °C</w:t>
        </w:r>
      </w:smartTag>
      <w:r w:rsidRPr="00284E6A">
        <w:rPr>
          <w:rFonts w:ascii="Times New Roman" w:hAnsi="Times New Roman" w:cs="Times New Roman"/>
          <w:sz w:val="28"/>
          <w:szCs w:val="28"/>
        </w:rPr>
        <w:t xml:space="preserve"> to avoid excessive loss of glycol, and to reduce the amount of water in the gas phase. The glycol will also absorb heavy hydrocarbons in the gas, and therefore the gas must pass trough a separate inlet gas scrubber before entering the absorber. For large volumes, filter separators can be used as inlet scrubbers to reduce the glycol contamination by heavy hydrocarbons, corrosion inhibitors and treating chemicals, and thus increase the life of the glycol charge. By removing contaminants in the scrubber, also foaming in the contactor and fouling of surfaces on the inside of equipment are avoided.</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After the absorber, the dry gas is heat exchanged with the incoming glycol in order to cool the glycol and hence obtain an increased absorption capacity and decrease the tendency of glycol to flash in the absorber.</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The rich glycol from the absorber is regenerated in a reboiler unit where the water is stripped from the glycol, but first the glycol goes through a separation process. The glycol solution is heated and sent to a low-pressure three-phase separator where any hydrocarbon liquids and the entrained gases are removed. The glycol is then filtrated in a cartridge filter to trap any solid particles followed by a </w:t>
      </w:r>
      <w:r w:rsidRPr="00284E6A">
        <w:rPr>
          <w:rFonts w:ascii="Times New Roman" w:hAnsi="Times New Roman" w:cs="Times New Roman"/>
          <w:sz w:val="28"/>
          <w:szCs w:val="28"/>
        </w:rPr>
        <w:lastRenderedPageBreak/>
        <w:t>charcoal filter to retain chemical impurities. The filters help minimize foaming and sludge build-up in the reboiler. Afterwards, the rich glycol is heated, by heat exchanging with lean glycol to absorber, before flowing to a still column mounted on the reboiler.</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In the still column operating at near atmospheric pressure, the glycol falls through a packing and is heated by the vapors being boiled off the liquids in the reboiler. The temperature in the reboiler is usually between 170 and </w:t>
      </w:r>
      <w:smartTag w:uri="urn:schemas-microsoft-com:office:smarttags" w:element="metricconverter">
        <w:smartTagPr>
          <w:attr w:name="ProductID" w:val="204 ﾰC"/>
        </w:smartTagPr>
        <w:r w:rsidRPr="00284E6A">
          <w:rPr>
            <w:rFonts w:ascii="Times New Roman" w:hAnsi="Times New Roman" w:cs="Times New Roman"/>
            <w:sz w:val="28"/>
            <w:szCs w:val="28"/>
          </w:rPr>
          <w:t>204 °C</w:t>
        </w:r>
      </w:smartTag>
      <w:r w:rsidRPr="00284E6A">
        <w:rPr>
          <w:rFonts w:ascii="Times New Roman" w:hAnsi="Times New Roman" w:cs="Times New Roman"/>
          <w:sz w:val="28"/>
          <w:szCs w:val="28"/>
        </w:rPr>
        <w:t xml:space="preserve"> to provide the heat necessary for the still column to operate. Because of the large difference in boiling point between water and glycol, a sharp separation can be achieved with a relatively short still column. The falling glycol with water gets hotter and hotter, and water and some glycol will flash from the liquid. Thus, as the glycol falls through the packing it becomes leaner in water. If a very lean glycol is required, stripping gas may be used. By injecting a small amount of wet gas from the inlet flow into the reboiler where the pressure is lower and temperature is higher, the gas becomes highly unsaturated and can be used to strip liquid water out of the glycol. After reboiling, the lean glycol is transported to a surge tank that allows expansion of the glycol before the glycol is pumped back to the absorber to complete the cycle.</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This process leads to </w:t>
      </w:r>
      <w:proofErr w:type="gramStart"/>
      <w:r w:rsidRPr="00284E6A">
        <w:rPr>
          <w:rFonts w:ascii="Times New Roman" w:hAnsi="Times New Roman" w:cs="Times New Roman"/>
          <w:sz w:val="28"/>
          <w:szCs w:val="28"/>
        </w:rPr>
        <w:t>a water</w:t>
      </w:r>
      <w:proofErr w:type="gramEnd"/>
      <w:r w:rsidRPr="00284E6A">
        <w:rPr>
          <w:rFonts w:ascii="Times New Roman" w:hAnsi="Times New Roman" w:cs="Times New Roman"/>
          <w:sz w:val="28"/>
          <w:szCs w:val="28"/>
        </w:rPr>
        <w:t xml:space="preserve"> content in the dehydrated gas usually between 20 and </w:t>
      </w:r>
      <w:smartTag w:uri="urn:schemas-microsoft-com:office:smarttags" w:element="metricconverter">
        <w:smartTagPr>
          <w:attr w:name="ProductID" w:val="35 g"/>
        </w:smartTagPr>
        <w:r w:rsidRPr="00284E6A">
          <w:rPr>
            <w:rFonts w:ascii="Times New Roman" w:hAnsi="Times New Roman" w:cs="Times New Roman"/>
            <w:sz w:val="28"/>
            <w:szCs w:val="28"/>
          </w:rPr>
          <w:t>35 g</w:t>
        </w:r>
      </w:smartTag>
      <w:r w:rsidRPr="00284E6A">
        <w:rPr>
          <w:rFonts w:ascii="Times New Roman" w:hAnsi="Times New Roman" w:cs="Times New Roman"/>
          <w:sz w:val="28"/>
          <w:szCs w:val="28"/>
        </w:rPr>
        <w:t xml:space="preserve"> per 1000 standard m3 depending on the operational temperature and pressure. Some of the glycol is lost with the water vapor and some may react and form heavy molecules that are separated out, and thus the glycol stream must be recharged continuously.</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Adsorption</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Solid bed dehydration is commonly used for dehydrating gases in cryogenic processes. The initial cost for such a dehydration unit generally exceeds that of a glycol unit, but on the other hand, solid bed dehydration results in a very low dew point of the gas, which is required for cryogenic processes such as liquefied natural gas (LNG) production. It is also applied when large changes in flow rates occur. In contrast, the solid adsorbent is sensitive to poisoning with liquids and other impurities in the gas, and the pressure drop over such a unit is high.</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Different adsorbents can be used for dehydration of natural gas. By using bauxite, a residual water content of about </w:t>
      </w:r>
      <w:proofErr w:type="gramStart"/>
      <w:r w:rsidRPr="00284E6A">
        <w:rPr>
          <w:rFonts w:ascii="Times New Roman" w:hAnsi="Times New Roman" w:cs="Times New Roman"/>
          <w:sz w:val="28"/>
          <w:szCs w:val="28"/>
        </w:rPr>
        <w:t>I</w:t>
      </w:r>
      <w:proofErr w:type="gramEnd"/>
      <w:r w:rsidRPr="00284E6A">
        <w:rPr>
          <w:rFonts w:ascii="Times New Roman" w:hAnsi="Times New Roman" w:cs="Times New Roman"/>
          <w:sz w:val="28"/>
          <w:szCs w:val="28"/>
        </w:rPr>
        <w:t xml:space="preserve"> ppm can be achieved. Heavy hydrocarbons are also adsorbed but can not be desorbed during regeneration, so these components must be avoided. Adsorption on a silica gel may result in water content of about 10 ppm, and the silica gel is easily regenerated. An expensive method is to use molecular sieves (zeolites) to adsorb water. With this method it is possible to adsorb the water molecules while excluding hydrocarbons resulting in </w:t>
      </w:r>
      <w:proofErr w:type="gramStart"/>
      <w:r w:rsidRPr="00284E6A">
        <w:rPr>
          <w:rFonts w:ascii="Times New Roman" w:hAnsi="Times New Roman" w:cs="Times New Roman"/>
          <w:sz w:val="28"/>
          <w:szCs w:val="28"/>
        </w:rPr>
        <w:t>a water</w:t>
      </w:r>
      <w:proofErr w:type="gramEnd"/>
      <w:r w:rsidRPr="00284E6A">
        <w:rPr>
          <w:rFonts w:ascii="Times New Roman" w:hAnsi="Times New Roman" w:cs="Times New Roman"/>
          <w:sz w:val="28"/>
          <w:szCs w:val="28"/>
        </w:rPr>
        <w:t xml:space="preserve"> content down to 0.03 ppm vol. The use of molecular sieves for removal of hydrogen sulfide and water is also presented in Solid Bed Adsorption.</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To dry the gas on a continuous basis, multiple solid beds are used in cyclic operation. Three cycles must alternatively be performed in each dehydrator; an adsorbing cycle, a regeneration cycle and a cooling cycle. A typical two-bed cycle might have eight hours of adsorption, six hours of heating and two hours of cooling.</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lastRenderedPageBreak/>
        <w:t>Before the adsorption cycle, the gas passes through an inlet separator where liquids, entrained mist and solid particles are removed. In the adsorption tower, the wet gas flows downward and light hydrocarbons first saturate the bed. Water is then starting to replace the hydrocarbons in the upper layers of the bed, and continues to displace the previously adsorbed hydrocarbons down the column. The tower must be switched from the adsorption cycle to the regeneration cycle before the whole bed is saturated with water.</w:t>
      </w:r>
    </w:p>
    <w:p w:rsidR="00A115FA" w:rsidRPr="00284E6A" w:rsidRDefault="00A115FA" w:rsidP="00A115FA">
      <w:pPr>
        <w:ind w:firstLine="720"/>
        <w:jc w:val="both"/>
        <w:rPr>
          <w:rFonts w:ascii="Times New Roman" w:hAnsi="Times New Roman" w:cs="Times New Roman"/>
          <w:sz w:val="28"/>
          <w:szCs w:val="28"/>
        </w:rPr>
      </w:pPr>
      <w:r w:rsidRPr="00284E6A">
        <w:rPr>
          <w:rFonts w:ascii="Times New Roman" w:hAnsi="Times New Roman" w:cs="Times New Roman"/>
          <w:sz w:val="28"/>
          <w:szCs w:val="28"/>
        </w:rPr>
        <w:t xml:space="preserve">To regenerate the solid adsorbents the tower is both heated and cooled. First, usually a slipstream of dry process gas is heated to between </w:t>
      </w:r>
      <w:smartTag w:uri="urn:schemas-microsoft-com:office:smarttags" w:element="metricconverter">
        <w:smartTagPr>
          <w:attr w:name="ProductID" w:val="230 ﾰC"/>
        </w:smartTagPr>
        <w:r w:rsidRPr="00284E6A">
          <w:rPr>
            <w:rFonts w:ascii="Times New Roman" w:hAnsi="Times New Roman" w:cs="Times New Roman"/>
            <w:sz w:val="28"/>
            <w:szCs w:val="28"/>
          </w:rPr>
          <w:t>230 °C</w:t>
        </w:r>
      </w:smartTag>
      <w:r w:rsidRPr="00284E6A">
        <w:rPr>
          <w:rFonts w:ascii="Times New Roman" w:hAnsi="Times New Roman" w:cs="Times New Roman"/>
          <w:sz w:val="28"/>
          <w:szCs w:val="28"/>
        </w:rPr>
        <w:t xml:space="preserve"> and </w:t>
      </w:r>
      <w:smartTag w:uri="urn:schemas-microsoft-com:office:smarttags" w:element="metricconverter">
        <w:smartTagPr>
          <w:attr w:name="ProductID" w:val="315 ﾰC"/>
        </w:smartTagPr>
        <w:r w:rsidRPr="00284E6A">
          <w:rPr>
            <w:rFonts w:ascii="Times New Roman" w:hAnsi="Times New Roman" w:cs="Times New Roman"/>
            <w:sz w:val="28"/>
            <w:szCs w:val="28"/>
          </w:rPr>
          <w:t>315 °C</w:t>
        </w:r>
      </w:smartTag>
      <w:r w:rsidRPr="00284E6A">
        <w:rPr>
          <w:rFonts w:ascii="Times New Roman" w:hAnsi="Times New Roman" w:cs="Times New Roman"/>
          <w:sz w:val="28"/>
          <w:szCs w:val="28"/>
        </w:rPr>
        <w:t xml:space="preserve"> in a high-temperature heater, and routed to the tower to remove the previously adsorbed water on the solid adsorbents. Due to the high temperature, the water will evaporate and be absorbed by the natural gas flowing, downward in the tower. Further downstream, the gas is then cooled in a regeneration gas cooler where water will condense. The water is eventually separated out, and the cool gas is recycled and dehydrated. A hot bed will not sufficiently dehydrate the gas. To return the solid bed to normal operating temperatures, the bed is also cooled (to between </w:t>
      </w:r>
      <w:smartTag w:uri="urn:schemas-microsoft-com:office:smarttags" w:element="metricconverter">
        <w:smartTagPr>
          <w:attr w:name="ProductID" w:val="38 ﾰC"/>
        </w:smartTagPr>
        <w:r w:rsidRPr="00284E6A">
          <w:rPr>
            <w:rFonts w:ascii="Times New Roman" w:hAnsi="Times New Roman" w:cs="Times New Roman"/>
            <w:sz w:val="28"/>
            <w:szCs w:val="28"/>
          </w:rPr>
          <w:t>38 °C</w:t>
        </w:r>
      </w:smartTag>
      <w:r w:rsidRPr="00284E6A">
        <w:rPr>
          <w:rFonts w:ascii="Times New Roman" w:hAnsi="Times New Roman" w:cs="Times New Roman"/>
          <w:sz w:val="28"/>
          <w:szCs w:val="28"/>
        </w:rPr>
        <w:t xml:space="preserve"> and </w:t>
      </w:r>
      <w:smartTag w:uri="urn:schemas-microsoft-com:office:smarttags" w:element="metricconverter">
        <w:smartTagPr>
          <w:attr w:name="ProductID" w:val="50 ﾰC"/>
        </w:smartTagPr>
        <w:r w:rsidRPr="00284E6A">
          <w:rPr>
            <w:rFonts w:ascii="Times New Roman" w:hAnsi="Times New Roman" w:cs="Times New Roman"/>
            <w:sz w:val="28"/>
            <w:szCs w:val="28"/>
          </w:rPr>
          <w:t>50 °C</w:t>
        </w:r>
      </w:smartTag>
      <w:r w:rsidRPr="00284E6A">
        <w:rPr>
          <w:rFonts w:ascii="Times New Roman" w:hAnsi="Times New Roman" w:cs="Times New Roman"/>
          <w:sz w:val="28"/>
          <w:szCs w:val="28"/>
        </w:rPr>
        <w:t>) by flowing cold gas, usually upward, through the tower.</w:t>
      </w:r>
    </w:p>
    <w:p w:rsidR="00A115FA" w:rsidRPr="00284E6A" w:rsidRDefault="00A115FA" w:rsidP="00A115FA">
      <w:pPr>
        <w:ind w:firstLine="720"/>
        <w:jc w:val="both"/>
        <w:rPr>
          <w:rFonts w:ascii="Times New Roman" w:hAnsi="Times New Roman" w:cs="Times New Roman"/>
          <w:sz w:val="28"/>
          <w:szCs w:val="28"/>
        </w:rPr>
      </w:pPr>
    </w:p>
    <w:p w:rsidR="00A115FA" w:rsidRPr="00284E6A" w:rsidRDefault="00A115FA" w:rsidP="00A115FA">
      <w:pPr>
        <w:ind w:firstLine="724"/>
        <w:jc w:val="both"/>
        <w:rPr>
          <w:rFonts w:ascii="Times New Roman" w:hAnsi="Times New Roman" w:cs="Times New Roman"/>
          <w:b/>
          <w:sz w:val="28"/>
          <w:szCs w:val="28"/>
        </w:rPr>
      </w:pPr>
      <w:proofErr w:type="gramStart"/>
      <w:r w:rsidRPr="00284E6A">
        <w:rPr>
          <w:rFonts w:ascii="Times New Roman" w:hAnsi="Times New Roman" w:cs="Times New Roman"/>
          <w:b/>
          <w:sz w:val="28"/>
          <w:szCs w:val="28"/>
        </w:rPr>
        <w:t>Lecture  30</w:t>
      </w:r>
      <w:proofErr w:type="gramEnd"/>
      <w:r w:rsidRPr="00284E6A">
        <w:rPr>
          <w:rFonts w:ascii="Times New Roman" w:hAnsi="Times New Roman" w:cs="Times New Roman"/>
          <w:b/>
          <w:sz w:val="28"/>
          <w:szCs w:val="28"/>
        </w:rPr>
        <w:t xml:space="preserve"> </w:t>
      </w:r>
      <w:r w:rsidRPr="00284E6A">
        <w:rPr>
          <w:rStyle w:val="hps"/>
          <w:rFonts w:ascii="Times New Roman" w:hAnsi="Times New Roman" w:cs="Times New Roman"/>
          <w:b/>
          <w:sz w:val="28"/>
          <w:szCs w:val="28"/>
          <w:lang w:val="en"/>
        </w:rPr>
        <w:t>Redox</w:t>
      </w:r>
      <w:r w:rsidRPr="00284E6A">
        <w:rPr>
          <w:rStyle w:val="shorttext"/>
          <w:rFonts w:ascii="Times New Roman" w:hAnsi="Times New Roman" w:cs="Times New Roman"/>
          <w:b/>
          <w:sz w:val="28"/>
          <w:szCs w:val="28"/>
          <w:lang w:val="en"/>
        </w:rPr>
        <w:t xml:space="preserve"> </w:t>
      </w:r>
      <w:r w:rsidRPr="00284E6A">
        <w:rPr>
          <w:rStyle w:val="hps"/>
          <w:rFonts w:ascii="Times New Roman" w:hAnsi="Times New Roman" w:cs="Times New Roman"/>
          <w:b/>
          <w:sz w:val="28"/>
          <w:szCs w:val="28"/>
          <w:lang w:val="en"/>
        </w:rPr>
        <w:t>processes, catalytical process</w:t>
      </w:r>
      <w:r w:rsidRPr="00284E6A">
        <w:rPr>
          <w:rFonts w:ascii="Times New Roman" w:hAnsi="Times New Roman" w:cs="Times New Roman"/>
          <w:b/>
          <w:sz w:val="28"/>
          <w:szCs w:val="28"/>
        </w:rPr>
        <w:t xml:space="preserve"> </w:t>
      </w:r>
    </w:p>
    <w:p w:rsidR="00A115FA" w:rsidRPr="00284E6A" w:rsidRDefault="00A115FA" w:rsidP="00A115FA">
      <w:pPr>
        <w:ind w:firstLine="724"/>
        <w:jc w:val="both"/>
        <w:rPr>
          <w:rFonts w:ascii="Times New Roman" w:hAnsi="Times New Roman" w:cs="Times New Roman"/>
          <w:b/>
          <w:sz w:val="28"/>
          <w:szCs w:val="28"/>
        </w:rPr>
      </w:pP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Natural gas consists of light hydrocarbons and small amounts of heavier hydrocarbons and water vapor. In addition, natural gas contains impurities such as carbon dioxide, hydrogen sulfide and other sulfur compounds. Other components, not that important, are ammonia (NH3), hydrogen cyanide (HCN), carbonyl sulfide (COS), carbon disulfide (CS2), mercaptans (RSH), nitrogen (N2) and sulfur dioxide (SO2). The gas quality is highly dependent on the concentrations of these contaminants. Moreover, the composition of the natural gas varies from one location to another.</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Gas cleaning usually involves removal of carbon dioxide, hydrogen sulfide and water. Well-known principles for removal are absorption or adsorption of these compounds, and lately, technology applying membranes are developed. After separation of hydrogen sulfide from natural gas, hydrogen sulfide is usually converted into pure sulfur, since emission of hydrogen sulfide to air is not allowed.</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The degree of gas cleaning depends on the governmental regulations for emissions to air. However, the gas is required to meet the sales gas specifications. In the sales gas specifications, concentrations of carbon dioxide up to 2 percent, of hydrogen sulfide up to 4 ppm and a maximum water content of </w:t>
      </w:r>
      <w:smartTag w:uri="urn:schemas-microsoft-com:office:smarttags" w:element="metricconverter">
        <w:smartTagPr>
          <w:attr w:name="ProductID" w:val="0.1 g"/>
        </w:smartTagPr>
        <w:r w:rsidRPr="00284E6A">
          <w:rPr>
            <w:rFonts w:ascii="Times New Roman" w:hAnsi="Times New Roman" w:cs="Times New Roman"/>
            <w:sz w:val="28"/>
            <w:szCs w:val="28"/>
          </w:rPr>
          <w:t>0.1 g</w:t>
        </w:r>
      </w:smartTag>
      <w:r w:rsidRPr="00284E6A">
        <w:rPr>
          <w:rFonts w:ascii="Times New Roman" w:hAnsi="Times New Roman" w:cs="Times New Roman"/>
          <w:sz w:val="28"/>
          <w:szCs w:val="28"/>
        </w:rPr>
        <w:t xml:space="preserve"> m'3, are usually allowed.</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Some degree of gas cleaning is also important prior to processing and transport of natural gas. Hydrogen sulfide and carbon dioxide form weak acids in combination with water, which increase corrosion in process equipment and gas pipelines. Thus, the term “acid gas” is often used for natural gas with impurities. In addition, hydrogen sulfide is toxic and highly flammable. In contrast, carbon dioxide is non-flammable, but displaces oxygen that may cause suffocation. Also, water vapor and condensed water cause problems, however more practical </w:t>
      </w:r>
      <w:r w:rsidRPr="00284E6A">
        <w:rPr>
          <w:rFonts w:ascii="Times New Roman" w:hAnsi="Times New Roman" w:cs="Times New Roman"/>
          <w:sz w:val="28"/>
          <w:szCs w:val="28"/>
        </w:rPr>
        <w:lastRenderedPageBreak/>
        <w:t>problems. During transport the gas is cooled, and condensed water results. A removal of water vapor prevents accumulation of liquid water in gas pipelines. Water accumulation can lead to the formation of natural gas hydrates, a solid material that may block pipelines (see Natural Gas Hydrates). As a result, pipeline specifications are followed to avoid these problems. The pipeline specifications allow higher concentrations of impurities than the sales gas specifications.</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2 </w:t>
      </w:r>
      <w:proofErr w:type="gramStart"/>
      <w:r w:rsidRPr="00284E6A">
        <w:rPr>
          <w:rFonts w:ascii="Times New Roman" w:hAnsi="Times New Roman" w:cs="Times New Roman"/>
          <w:sz w:val="28"/>
          <w:szCs w:val="28"/>
        </w:rPr>
        <w:t>Removal</w:t>
      </w:r>
      <w:proofErr w:type="gramEnd"/>
      <w:r w:rsidRPr="00284E6A">
        <w:rPr>
          <w:rFonts w:ascii="Times New Roman" w:hAnsi="Times New Roman" w:cs="Times New Roman"/>
          <w:sz w:val="28"/>
          <w:szCs w:val="28"/>
        </w:rPr>
        <w:t xml:space="preserve"> of Carbon Dioxide and Hydrogen Sulfide</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Gas cleaning is usually concentrated on removing sulfur compounds and carbon dioxide. Often both carbon dioxide and hydrogen sulfide are removed simultaneously and sometimes one of the compounds, usually hydrogen sulfide, is moved selectively. Due to the environmental and health effects of hydrogen sulfide, further treatment of hydrogen sulfide is necessary before depositing. Such conversion processes will be presented in section 3.</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Various processes are developed for acid gas removal, based on either chemical or physical principles where the compounds are either absorbed in a physical or chemical solvent or adsorbed on a solid surface.</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Usually, for low concentrations of hydrogen sulfide in the feed stream, the adsorption processes are favorable to obtain a gas with very low hydrogen sulfide content. However, for removal of larger amounts, adsorption is uneconomical and absorption processes are more suitable. At even higher concentrations, the physical solvent absorption processes are used. However, by using these processes, additional second cleaning of the gas is required because the natural gas is not satisfactorily purified in the first step.</w:t>
      </w:r>
    </w:p>
    <w:p w:rsidR="00A115FA" w:rsidRPr="00284E6A" w:rsidRDefault="00A115FA" w:rsidP="00A115FA">
      <w:pPr>
        <w:ind w:firstLine="724"/>
        <w:jc w:val="both"/>
        <w:rPr>
          <w:rFonts w:ascii="Times New Roman" w:hAnsi="Times New Roman" w:cs="Times New Roman"/>
          <w:sz w:val="28"/>
          <w:szCs w:val="28"/>
        </w:rPr>
      </w:pPr>
      <w:bookmarkStart w:id="21" w:name="bookmark4"/>
      <w:r w:rsidRPr="00284E6A">
        <w:rPr>
          <w:rFonts w:ascii="Times New Roman" w:hAnsi="Times New Roman" w:cs="Times New Roman"/>
          <w:sz w:val="28"/>
          <w:szCs w:val="28"/>
        </w:rPr>
        <w:t>Solid Bed Adsorption</w:t>
      </w:r>
      <w:bookmarkEnd w:id="21"/>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In an adsorption process, a fixed bed of solid particles is applied to remove mainly hydrogen sulfide but also some carbon dioxide and water by means of ionic bonding or chemical reactions. When a very high purity of the natural gas is required, one of the adsorption processes is used. In these processes, the gas flows through the fixed bed while the acid gases are adsorbed on the solid particles. When the bed is saturated with acid gases, the bed needs to be replaced or regenerated by heating. As a result, these processes are usually operated as a batch system. Three different solid bed adsorption processes are common; molecular sieves, iron sponge and zinc oxide.</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Molecular Sieves: In the molecular sieves process polar molecules such as hydrogen sulfide and water can be removed by bonding to polar charged active sites on the surface of solid particles. This adsoiption process can be used when very low vapor concentrations are required, and it is usually operated at moderate pressure at about 30 </w:t>
      </w:r>
      <w:proofErr w:type="gramStart"/>
      <w:r w:rsidRPr="00284E6A">
        <w:rPr>
          <w:rFonts w:ascii="Times New Roman" w:hAnsi="Times New Roman" w:cs="Times New Roman"/>
          <w:sz w:val="28"/>
          <w:szCs w:val="28"/>
        </w:rPr>
        <w:t>bar</w:t>
      </w:r>
      <w:proofErr w:type="gramEnd"/>
      <w:r w:rsidRPr="00284E6A">
        <w:rPr>
          <w:rFonts w:ascii="Times New Roman" w:hAnsi="Times New Roman" w:cs="Times New Roman"/>
          <w:sz w:val="28"/>
          <w:szCs w:val="28"/>
        </w:rPr>
        <w:t>.</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The particles are synthetically manufactured creating a very porous material with pores of exactly the same size. The size of the pores is selected so that small molecules are admitted, and at the same time preventing heavy hydrocarbons and aromatic compounds to enter the pores. Small non-polar molecules such as carbon dioxide will also enter and become trapped inside the pores. This obstructs the access of water and hydrogen sulfide, resulting in a decrease of the effectiveness of the adsorption.</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lastRenderedPageBreak/>
        <w:t xml:space="preserve">The molecular sieve bed does not suffer from any degradation, and therefore, it is regenerated by flowing hot sweet gas through the bed. The regeneration process is operated close to </w:t>
      </w:r>
      <w:smartTag w:uri="urn:schemas-microsoft-com:office:smarttags" w:element="metricconverter">
        <w:smartTagPr>
          <w:attr w:name="ProductID" w:val="315 ﾰC"/>
        </w:smartTagPr>
        <w:r w:rsidRPr="00284E6A">
          <w:rPr>
            <w:rFonts w:ascii="Times New Roman" w:hAnsi="Times New Roman" w:cs="Times New Roman"/>
            <w:sz w:val="28"/>
            <w:szCs w:val="28"/>
          </w:rPr>
          <w:t>315 °C</w:t>
        </w:r>
      </w:smartTag>
      <w:r w:rsidRPr="00284E6A">
        <w:rPr>
          <w:rFonts w:ascii="Times New Roman" w:hAnsi="Times New Roman" w:cs="Times New Roman"/>
          <w:sz w:val="28"/>
          <w:szCs w:val="28"/>
        </w:rPr>
        <w:t xml:space="preserve"> for a long enough period of time to remove all adsorbed material, usually one hour or more. Hydrogen sulfide and carbon dioxide may form COS, but by proper design of the molecular sieve process this reaction is not promoted.</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Iron Sponge: The iron sponge process is applied to gases with low hydrogen sulfide content (less than 300 ppm), and is operated at low to moderate pressure up to 83 bar. The hydrogen sulfide is removed from natural gas by chemical reaction with ferric oxide:</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ҒегОъ + 6 H2S —» 2Fe2S3 + 6 H20</w:t>
      </w:r>
      <w:r w:rsidRPr="00284E6A">
        <w:rPr>
          <w:rFonts w:ascii="Times New Roman" w:hAnsi="Times New Roman" w:cs="Times New Roman"/>
          <w:sz w:val="28"/>
          <w:szCs w:val="28"/>
        </w:rPr>
        <w:tab/>
      </w:r>
      <w:proofErr w:type="gramStart"/>
      <w:r w:rsidRPr="00284E6A">
        <w:rPr>
          <w:rFonts w:ascii="Times New Roman" w:hAnsi="Times New Roman" w:cs="Times New Roman"/>
          <w:sz w:val="28"/>
          <w:szCs w:val="28"/>
        </w:rPr>
        <w:t>( 1</w:t>
      </w:r>
      <w:proofErr w:type="gramEnd"/>
      <w:r w:rsidRPr="00284E6A">
        <w:rPr>
          <w:rFonts w:ascii="Times New Roman" w:hAnsi="Times New Roman" w:cs="Times New Roman"/>
          <w:sz w:val="28"/>
          <w:szCs w:val="28"/>
        </w:rPr>
        <w:t>)</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This reaction requires the presence of water with a pH level of 8-10 and a temperature below </w:t>
      </w:r>
      <w:smartTag w:uri="urn:schemas-microsoft-com:office:smarttags" w:element="metricconverter">
        <w:smartTagPr>
          <w:attr w:name="ProductID" w:val="43 ﾰC"/>
        </w:smartTagPr>
        <w:r w:rsidRPr="00284E6A">
          <w:rPr>
            <w:rFonts w:ascii="Times New Roman" w:hAnsi="Times New Roman" w:cs="Times New Roman"/>
            <w:sz w:val="28"/>
            <w:szCs w:val="28"/>
          </w:rPr>
          <w:t>43 °C</w:t>
        </w:r>
      </w:smartTag>
      <w:r w:rsidRPr="00284E6A">
        <w:rPr>
          <w:rFonts w:ascii="Times New Roman" w:hAnsi="Times New Roman" w:cs="Times New Roman"/>
          <w:sz w:val="28"/>
          <w:szCs w:val="28"/>
        </w:rPr>
        <w:t>. The solid bed consists of wood chips with ferric oxide at the surface. During the process, hydrocarbons and sulfur tend to coat the surface area and inhibit the reaction. Solid particles are therefore regenerated regularly by introducing oxygen, however only 60 percent of the previous bed life can be expected. The oxidation of ferric sulfur is strongly exothermic so precautions must be taken. As a result, the oxygen gas must be introduced slowly so that the heat of reaction can dis</w:t>
      </w:r>
      <w:r w:rsidRPr="00284E6A">
        <w:rPr>
          <w:rFonts w:ascii="Times New Roman" w:hAnsi="Times New Roman" w:cs="Times New Roman"/>
          <w:sz w:val="28"/>
          <w:szCs w:val="28"/>
        </w:rPr>
        <w:softHyphen/>
        <w:t>sipate, or the regeneration step is simply avoided by operating the process in batch mode where the solid particles are replaced.</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Zinc Oxide: The zinc oxide process is similar to the iron sponge process. In a solid bed of granular zinc oxide the acid gas reacts with the zinc oxide and forms water and zinc sulfide:</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ZnO + H2S —&gt; ZnS + H20</w:t>
      </w:r>
      <w:r w:rsidRPr="00284E6A">
        <w:rPr>
          <w:rFonts w:ascii="Times New Roman" w:hAnsi="Times New Roman" w:cs="Times New Roman"/>
          <w:sz w:val="28"/>
          <w:szCs w:val="28"/>
        </w:rPr>
        <w:tab/>
      </w:r>
      <w:proofErr w:type="gramStart"/>
      <w:r w:rsidRPr="00284E6A">
        <w:rPr>
          <w:rFonts w:ascii="Times New Roman" w:hAnsi="Times New Roman" w:cs="Times New Roman"/>
          <w:sz w:val="28"/>
          <w:szCs w:val="28"/>
        </w:rPr>
        <w:t>( 2</w:t>
      </w:r>
      <w:proofErr w:type="gramEnd"/>
      <w:r w:rsidRPr="00284E6A">
        <w:rPr>
          <w:rFonts w:ascii="Times New Roman" w:hAnsi="Times New Roman" w:cs="Times New Roman"/>
          <w:sz w:val="28"/>
          <w:szCs w:val="28"/>
        </w:rPr>
        <w:t xml:space="preserve"> )</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 xml:space="preserve">To promote the reaction rate, the temperature is normally kept above </w:t>
      </w:r>
      <w:smartTag w:uri="urn:schemas-microsoft-com:office:smarttags" w:element="metricconverter">
        <w:smartTagPr>
          <w:attr w:name="ProductID" w:val="121 ﾰC"/>
        </w:smartTagPr>
        <w:r w:rsidRPr="00284E6A">
          <w:rPr>
            <w:rFonts w:ascii="Times New Roman" w:hAnsi="Times New Roman" w:cs="Times New Roman"/>
            <w:sz w:val="28"/>
            <w:szCs w:val="28"/>
          </w:rPr>
          <w:t>121 °C</w:t>
        </w:r>
      </w:smartTag>
      <w:r w:rsidRPr="00284E6A">
        <w:rPr>
          <w:rFonts w:ascii="Times New Roman" w:hAnsi="Times New Roman" w:cs="Times New Roman"/>
          <w:sz w:val="28"/>
          <w:szCs w:val="28"/>
        </w:rPr>
        <w:t xml:space="preserve">. The catalyst must be removed and can at that time contain up to 20 weight percent of sulfur. Due to disposal problems with the spent catalyst, this process has seen decreasing use in the industry. However, a development of the process into a desulfurization process called Puraspec, allows purification of the gas at temperatures down to </w:t>
      </w:r>
      <w:smartTag w:uri="urn:schemas-microsoft-com:office:smarttags" w:element="metricconverter">
        <w:smartTagPr>
          <w:attr w:name="ProductID" w:val="0 ﾰC"/>
        </w:smartTagPr>
        <w:r w:rsidRPr="00284E6A">
          <w:rPr>
            <w:rFonts w:ascii="Times New Roman" w:hAnsi="Times New Roman" w:cs="Times New Roman"/>
            <w:sz w:val="28"/>
            <w:szCs w:val="28"/>
          </w:rPr>
          <w:t>0 °C</w:t>
        </w:r>
      </w:smartTag>
      <w:r w:rsidRPr="00284E6A">
        <w:rPr>
          <w:rFonts w:ascii="Times New Roman" w:hAnsi="Times New Roman" w:cs="Times New Roman"/>
          <w:sz w:val="28"/>
          <w:szCs w:val="28"/>
        </w:rPr>
        <w:t xml:space="preserve"> and recovery of the metal in the metal oxide-based adsorbents.</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Chemical Solvents</w:t>
      </w:r>
    </w:p>
    <w:p w:rsidR="00A115FA" w:rsidRPr="00284E6A" w:rsidRDefault="00A115FA" w:rsidP="00A115FA">
      <w:pPr>
        <w:ind w:firstLine="724"/>
        <w:jc w:val="both"/>
        <w:rPr>
          <w:rFonts w:ascii="Times New Roman" w:hAnsi="Times New Roman" w:cs="Times New Roman"/>
          <w:sz w:val="28"/>
          <w:szCs w:val="28"/>
        </w:rPr>
      </w:pPr>
      <w:r w:rsidRPr="00284E6A">
        <w:rPr>
          <w:rFonts w:ascii="Times New Roman" w:hAnsi="Times New Roman" w:cs="Times New Roman"/>
          <w:sz w:val="28"/>
          <w:szCs w:val="28"/>
        </w:rPr>
        <w:t>In the chemical solvent processes, the acid gases are absorbed by and react with an aqueous solution of a weak base. The chemical reactions involved are reversible, so by changing pressure and temperature the base solution can be regenerated. Most processes use either an amine solution or a carbonate solution for purification of natural gas.</w:t>
      </w:r>
    </w:p>
    <w:p w:rsidR="00A115FA" w:rsidRPr="006376E4"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p>
    <w:p w:rsidR="00A115FA" w:rsidRPr="006376E4"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p>
    <w:p w:rsidR="00A115FA" w:rsidRPr="006376E4"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p>
    <w:p w:rsidR="00A115FA" w:rsidRPr="006376E4" w:rsidRDefault="00A115FA" w:rsidP="00A115FA">
      <w:pPr>
        <w:widowControl/>
        <w:shd w:val="clear" w:color="auto" w:fill="FFFFFF"/>
        <w:spacing w:before="100" w:beforeAutospacing="1" w:after="100" w:afterAutospacing="1"/>
        <w:rPr>
          <w:rFonts w:ascii="Times New Roman" w:eastAsia="Times New Roman" w:hAnsi="Times New Roman" w:cs="Times New Roman"/>
          <w:sz w:val="28"/>
          <w:szCs w:val="28"/>
          <w:lang w:eastAsia="ru-RU"/>
        </w:rPr>
      </w:pPr>
    </w:p>
    <w:p w:rsidR="00222C44" w:rsidRPr="000C05D1" w:rsidRDefault="000C05D1" w:rsidP="000C05D1">
      <w:pPr>
        <w:ind w:left="360" w:firstLine="724"/>
        <w:jc w:val="center"/>
        <w:rPr>
          <w:rFonts w:ascii="Times New Roman" w:hAnsi="Times New Roman" w:cs="Times New Roman"/>
          <w:b/>
          <w:bCs/>
          <w:color w:val="auto"/>
          <w:sz w:val="28"/>
          <w:szCs w:val="28"/>
          <w:lang w:eastAsia="ru-RU"/>
        </w:rPr>
      </w:pPr>
      <w:r w:rsidRPr="000C05D1">
        <w:rPr>
          <w:rFonts w:ascii="Times New Roman" w:hAnsi="Times New Roman" w:cs="Times New Roman"/>
          <w:b/>
          <w:bCs/>
          <w:color w:val="auto"/>
          <w:sz w:val="28"/>
          <w:szCs w:val="28"/>
        </w:rPr>
        <w:lastRenderedPageBreak/>
        <w:t>REFERENCES</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1. </w:t>
      </w:r>
      <w:r w:rsidRPr="000C05D1">
        <w:rPr>
          <w:rStyle w:val="element-citation"/>
          <w:rFonts w:ascii="Times New Roman" w:hAnsi="Times New Roman" w:cs="Times New Roman"/>
          <w:color w:val="auto"/>
          <w:sz w:val="28"/>
          <w:szCs w:val="28"/>
        </w:rPr>
        <w:t>Fergusson JE, editor. </w:t>
      </w:r>
      <w:r w:rsidRPr="000C05D1">
        <w:rPr>
          <w:rStyle w:val="ref-journal"/>
          <w:rFonts w:ascii="Times New Roman" w:hAnsi="Times New Roman" w:cs="Times New Roman"/>
          <w:color w:val="auto"/>
          <w:sz w:val="28"/>
          <w:szCs w:val="28"/>
        </w:rPr>
        <w:t>The Heavy Elements: Chemistry, Environmental Impact and Health Effects.</w:t>
      </w:r>
      <w:r w:rsidRPr="000C05D1">
        <w:rPr>
          <w:rStyle w:val="element-citation"/>
          <w:rFonts w:ascii="Times New Roman" w:hAnsi="Times New Roman" w:cs="Times New Roman"/>
          <w:color w:val="auto"/>
          <w:sz w:val="28"/>
          <w:szCs w:val="28"/>
        </w:rPr>
        <w:t>Oxford: Pergamon Press; 1990.</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2. </w:t>
      </w:r>
      <w:r w:rsidRPr="000C05D1">
        <w:rPr>
          <w:rStyle w:val="element-citation"/>
          <w:rFonts w:ascii="Times New Roman" w:hAnsi="Times New Roman" w:cs="Times New Roman"/>
          <w:color w:val="auto"/>
          <w:sz w:val="28"/>
          <w:szCs w:val="28"/>
        </w:rPr>
        <w:t xml:space="preserve">Duffus JH. </w:t>
      </w:r>
      <w:proofErr w:type="gramStart"/>
      <w:r w:rsidRPr="000C05D1">
        <w:rPr>
          <w:rStyle w:val="element-citation"/>
          <w:rFonts w:ascii="Times New Roman" w:hAnsi="Times New Roman" w:cs="Times New Roman"/>
          <w:color w:val="auto"/>
          <w:sz w:val="28"/>
          <w:szCs w:val="28"/>
        </w:rPr>
        <w:t>Heavy metals-a meaningless term?</w:t>
      </w:r>
      <w:proofErr w:type="gramEnd"/>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Pure Appl Chem. </w:t>
      </w:r>
      <w:r w:rsidRPr="000C05D1">
        <w:rPr>
          <w:rStyle w:val="element-citation"/>
          <w:rFonts w:ascii="Times New Roman" w:hAnsi="Times New Roman" w:cs="Times New Roman"/>
          <w:color w:val="auto"/>
          <w:sz w:val="28"/>
          <w:szCs w:val="28"/>
        </w:rPr>
        <w:t>2002</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74</w:t>
      </w:r>
      <w:proofErr w:type="gramEnd"/>
      <w:r w:rsidRPr="000C05D1">
        <w:rPr>
          <w:rStyle w:val="element-citation"/>
          <w:rFonts w:ascii="Times New Roman" w:hAnsi="Times New Roman" w:cs="Times New Roman"/>
          <w:color w:val="auto"/>
          <w:sz w:val="28"/>
          <w:szCs w:val="28"/>
        </w:rPr>
        <w:t>(5):793–807.</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3. </w:t>
      </w:r>
      <w:r w:rsidRPr="000C05D1">
        <w:rPr>
          <w:rStyle w:val="element-citation"/>
          <w:rFonts w:ascii="Times New Roman" w:hAnsi="Times New Roman" w:cs="Times New Roman"/>
          <w:color w:val="auto"/>
          <w:sz w:val="28"/>
          <w:szCs w:val="28"/>
        </w:rPr>
        <w:t>Bradl H, editor. </w:t>
      </w:r>
      <w:r w:rsidRPr="000C05D1">
        <w:rPr>
          <w:rStyle w:val="ref-journal"/>
          <w:rFonts w:ascii="Times New Roman" w:hAnsi="Times New Roman" w:cs="Times New Roman"/>
          <w:color w:val="auto"/>
          <w:sz w:val="28"/>
          <w:szCs w:val="28"/>
        </w:rPr>
        <w:t>Heavy Metals in the Environment: Origin, Interaction and Remediation Volume 6.</w:t>
      </w:r>
      <w:r w:rsidRPr="000C05D1">
        <w:rPr>
          <w:rStyle w:val="element-citation"/>
          <w:rFonts w:ascii="Times New Roman" w:hAnsi="Times New Roman" w:cs="Times New Roman"/>
          <w:color w:val="auto"/>
          <w:sz w:val="28"/>
          <w:szCs w:val="28"/>
        </w:rPr>
        <w:t>London: Academic Press; 2002.</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4. </w:t>
      </w:r>
      <w:r w:rsidRPr="000C05D1">
        <w:rPr>
          <w:rStyle w:val="element-citation"/>
          <w:rFonts w:ascii="Times New Roman" w:hAnsi="Times New Roman" w:cs="Times New Roman"/>
          <w:color w:val="auto"/>
          <w:sz w:val="28"/>
          <w:szCs w:val="28"/>
        </w:rPr>
        <w:t>He ZL, Yang XE, Stoffella PJ. Trace elements in agroecosystems and impacts on the environment. </w:t>
      </w:r>
      <w:r w:rsidRPr="000C05D1">
        <w:rPr>
          <w:rStyle w:val="ref-journal"/>
          <w:rFonts w:ascii="Times New Roman" w:hAnsi="Times New Roman" w:cs="Times New Roman"/>
          <w:color w:val="auto"/>
          <w:sz w:val="28"/>
          <w:szCs w:val="28"/>
        </w:rPr>
        <w:t>J Trace Elem Med Biol. </w:t>
      </w:r>
      <w:r w:rsidRPr="000C05D1">
        <w:rPr>
          <w:rStyle w:val="element-citation"/>
          <w:rFonts w:ascii="Times New Roman" w:hAnsi="Times New Roman" w:cs="Times New Roman"/>
          <w:color w:val="auto"/>
          <w:sz w:val="28"/>
          <w:szCs w:val="28"/>
        </w:rPr>
        <w:t>2005</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19</w:t>
      </w:r>
      <w:proofErr w:type="gramEnd"/>
      <w:r w:rsidRPr="000C05D1">
        <w:rPr>
          <w:rStyle w:val="element-citation"/>
          <w:rFonts w:ascii="Times New Roman" w:hAnsi="Times New Roman" w:cs="Times New Roman"/>
          <w:color w:val="auto"/>
          <w:sz w:val="28"/>
          <w:szCs w:val="28"/>
        </w:rPr>
        <w:t>(2–3):125–140. </w:t>
      </w:r>
      <w:r w:rsidRPr="000C05D1">
        <w:rPr>
          <w:rStyle w:val="nowraprefpubmed"/>
          <w:rFonts w:ascii="Times New Roman" w:hAnsi="Times New Roman" w:cs="Times New Roman"/>
          <w:color w:val="auto"/>
          <w:sz w:val="28"/>
          <w:szCs w:val="28"/>
        </w:rPr>
        <w:t>[</w:t>
      </w:r>
      <w:hyperlink r:id="rId459"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5. </w:t>
      </w:r>
      <w:r w:rsidRPr="000C05D1">
        <w:rPr>
          <w:rStyle w:val="element-citation"/>
          <w:rFonts w:ascii="Times New Roman" w:hAnsi="Times New Roman" w:cs="Times New Roman"/>
          <w:color w:val="auto"/>
          <w:sz w:val="28"/>
          <w:szCs w:val="28"/>
        </w:rPr>
        <w:t xml:space="preserve">Goyer RA. </w:t>
      </w:r>
      <w:proofErr w:type="gramStart"/>
      <w:r w:rsidRPr="000C05D1">
        <w:rPr>
          <w:rStyle w:val="element-citation"/>
          <w:rFonts w:ascii="Times New Roman" w:hAnsi="Times New Roman" w:cs="Times New Roman"/>
          <w:color w:val="auto"/>
          <w:sz w:val="28"/>
          <w:szCs w:val="28"/>
        </w:rPr>
        <w:t>Toxic effects of metals.</w:t>
      </w:r>
      <w:proofErr w:type="gramEnd"/>
      <w:r w:rsidRPr="000C05D1">
        <w:rPr>
          <w:rStyle w:val="element-citation"/>
          <w:rFonts w:ascii="Times New Roman" w:hAnsi="Times New Roman" w:cs="Times New Roman"/>
          <w:color w:val="auto"/>
          <w:sz w:val="28"/>
          <w:szCs w:val="28"/>
        </w:rPr>
        <w:t xml:space="preserve"> In: Klaassen CD, editor. </w:t>
      </w:r>
      <w:r w:rsidRPr="000C05D1">
        <w:rPr>
          <w:rStyle w:val="ref-journal"/>
          <w:rFonts w:ascii="Times New Roman" w:hAnsi="Times New Roman" w:cs="Times New Roman"/>
          <w:color w:val="auto"/>
          <w:sz w:val="28"/>
          <w:szCs w:val="28"/>
        </w:rPr>
        <w:t>Cassarett and Doull’s Toxicology: The Basic Science of Poisons.</w:t>
      </w:r>
      <w:r w:rsidRPr="000C05D1">
        <w:rPr>
          <w:rStyle w:val="element-citation"/>
          <w:rFonts w:ascii="Times New Roman" w:hAnsi="Times New Roman" w:cs="Times New Roman"/>
          <w:color w:val="auto"/>
          <w:sz w:val="28"/>
          <w:szCs w:val="28"/>
        </w:rPr>
        <w:t> </w:t>
      </w:r>
      <w:smartTag w:uri="urn:schemas-microsoft-com:office:smarttags" w:element="State">
        <w:smartTag w:uri="urn:schemas-microsoft-com:office:smarttags" w:element="place">
          <w:r w:rsidRPr="000C05D1">
            <w:rPr>
              <w:rStyle w:val="element-citation"/>
              <w:rFonts w:ascii="Times New Roman" w:hAnsi="Times New Roman" w:cs="Times New Roman"/>
              <w:color w:val="auto"/>
              <w:sz w:val="28"/>
              <w:szCs w:val="28"/>
            </w:rPr>
            <w:t>New York</w:t>
          </w:r>
        </w:smartTag>
      </w:smartTag>
      <w:r w:rsidRPr="000C05D1">
        <w:rPr>
          <w:rStyle w:val="element-citation"/>
          <w:rFonts w:ascii="Times New Roman" w:hAnsi="Times New Roman" w:cs="Times New Roman"/>
          <w:color w:val="auto"/>
          <w:sz w:val="28"/>
          <w:szCs w:val="28"/>
        </w:rPr>
        <w:t>: McGraw-Hill Publisher; 2001. pp. 811–867.</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6. </w:t>
      </w:r>
      <w:r w:rsidRPr="000C05D1">
        <w:rPr>
          <w:rStyle w:val="element-citation"/>
          <w:rFonts w:ascii="Times New Roman" w:hAnsi="Times New Roman" w:cs="Times New Roman"/>
          <w:color w:val="auto"/>
          <w:sz w:val="28"/>
          <w:szCs w:val="28"/>
        </w:rPr>
        <w:t xml:space="preserve">Herawati N, Suzuki S, Hayashi K, Rivai IF, Koyoma H. Cadmium, copper and zinc levels in rice and soil of </w:t>
      </w:r>
      <w:smartTag w:uri="urn:schemas-microsoft-com:office:smarttags" w:element="country-region">
        <w:r w:rsidRPr="000C05D1">
          <w:rPr>
            <w:rStyle w:val="element-citation"/>
            <w:rFonts w:ascii="Times New Roman" w:hAnsi="Times New Roman" w:cs="Times New Roman"/>
            <w:color w:val="auto"/>
            <w:sz w:val="28"/>
            <w:szCs w:val="28"/>
          </w:rPr>
          <w:t>Japan</w:t>
        </w:r>
      </w:smartTag>
      <w:r w:rsidRPr="000C05D1">
        <w:rPr>
          <w:rStyle w:val="element-citation"/>
          <w:rFonts w:ascii="Times New Roman" w:hAnsi="Times New Roman" w:cs="Times New Roman"/>
          <w:color w:val="auto"/>
          <w:sz w:val="28"/>
          <w:szCs w:val="28"/>
        </w:rPr>
        <w:t xml:space="preserve">, </w:t>
      </w:r>
      <w:smartTag w:uri="urn:schemas-microsoft-com:office:smarttags" w:element="country-region">
        <w:r w:rsidRPr="000C05D1">
          <w:rPr>
            <w:rStyle w:val="element-citation"/>
            <w:rFonts w:ascii="Times New Roman" w:hAnsi="Times New Roman" w:cs="Times New Roman"/>
            <w:color w:val="auto"/>
            <w:sz w:val="28"/>
            <w:szCs w:val="28"/>
          </w:rPr>
          <w:t>Indonesia</w:t>
        </w:r>
      </w:smartTag>
      <w:r w:rsidRPr="000C05D1">
        <w:rPr>
          <w:rStyle w:val="element-citation"/>
          <w:rFonts w:ascii="Times New Roman" w:hAnsi="Times New Roman" w:cs="Times New Roman"/>
          <w:color w:val="auto"/>
          <w:sz w:val="28"/>
          <w:szCs w:val="28"/>
        </w:rPr>
        <w:t xml:space="preserve"> and </w:t>
      </w:r>
      <w:smartTag w:uri="urn:schemas-microsoft-com:office:smarttags" w:element="country-region">
        <w:smartTag w:uri="urn:schemas-microsoft-com:office:smarttags" w:element="place">
          <w:r w:rsidRPr="000C05D1">
            <w:rPr>
              <w:rStyle w:val="element-citation"/>
              <w:rFonts w:ascii="Times New Roman" w:hAnsi="Times New Roman" w:cs="Times New Roman"/>
              <w:color w:val="auto"/>
              <w:sz w:val="28"/>
              <w:szCs w:val="28"/>
            </w:rPr>
            <w:t>China</w:t>
          </w:r>
        </w:smartTag>
      </w:smartTag>
      <w:r w:rsidRPr="000C05D1">
        <w:rPr>
          <w:rStyle w:val="element-citation"/>
          <w:rFonts w:ascii="Times New Roman" w:hAnsi="Times New Roman" w:cs="Times New Roman"/>
          <w:color w:val="auto"/>
          <w:sz w:val="28"/>
          <w:szCs w:val="28"/>
        </w:rPr>
        <w:t xml:space="preserve"> by soil type. </w:t>
      </w:r>
      <w:r w:rsidRPr="000C05D1">
        <w:rPr>
          <w:rStyle w:val="ref-journal"/>
          <w:rFonts w:ascii="Times New Roman" w:hAnsi="Times New Roman" w:cs="Times New Roman"/>
          <w:color w:val="auto"/>
          <w:sz w:val="28"/>
          <w:szCs w:val="28"/>
        </w:rPr>
        <w:t>Bull Env Contam Toxicol. </w:t>
      </w:r>
      <w:r w:rsidRPr="000C05D1">
        <w:rPr>
          <w:rStyle w:val="element-citation"/>
          <w:rFonts w:ascii="Times New Roman" w:hAnsi="Times New Roman" w:cs="Times New Roman"/>
          <w:color w:val="auto"/>
          <w:sz w:val="28"/>
          <w:szCs w:val="28"/>
        </w:rPr>
        <w:t>2000</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64</w:t>
      </w:r>
      <w:r w:rsidRPr="000C05D1">
        <w:rPr>
          <w:rStyle w:val="element-citation"/>
          <w:rFonts w:ascii="Times New Roman" w:hAnsi="Times New Roman" w:cs="Times New Roman"/>
          <w:color w:val="auto"/>
          <w:sz w:val="28"/>
          <w:szCs w:val="28"/>
        </w:rPr>
        <w:t>:33</w:t>
      </w:r>
      <w:proofErr w:type="gramEnd"/>
      <w:r w:rsidRPr="000C05D1">
        <w:rPr>
          <w:rStyle w:val="element-citation"/>
          <w:rFonts w:ascii="Times New Roman" w:hAnsi="Times New Roman" w:cs="Times New Roman"/>
          <w:color w:val="auto"/>
          <w:sz w:val="28"/>
          <w:szCs w:val="28"/>
        </w:rPr>
        <w:t>–39. </w:t>
      </w:r>
      <w:r w:rsidRPr="000C05D1">
        <w:rPr>
          <w:rStyle w:val="nowraprefpubmed"/>
          <w:rFonts w:ascii="Times New Roman" w:hAnsi="Times New Roman" w:cs="Times New Roman"/>
          <w:color w:val="auto"/>
          <w:sz w:val="28"/>
          <w:szCs w:val="28"/>
        </w:rPr>
        <w:t>[</w:t>
      </w:r>
      <w:hyperlink r:id="rId460"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7. </w:t>
      </w:r>
      <w:r w:rsidRPr="000C05D1">
        <w:rPr>
          <w:rStyle w:val="element-citation"/>
          <w:rFonts w:ascii="Times New Roman" w:hAnsi="Times New Roman" w:cs="Times New Roman"/>
          <w:color w:val="auto"/>
          <w:sz w:val="28"/>
          <w:szCs w:val="28"/>
        </w:rPr>
        <w:t xml:space="preserve">Shallari S, Schwartz C, Hasko A, Morel JL. </w:t>
      </w:r>
      <w:proofErr w:type="gramStart"/>
      <w:r w:rsidRPr="000C05D1">
        <w:rPr>
          <w:rStyle w:val="element-citation"/>
          <w:rFonts w:ascii="Times New Roman" w:hAnsi="Times New Roman" w:cs="Times New Roman"/>
          <w:color w:val="auto"/>
          <w:sz w:val="28"/>
          <w:szCs w:val="28"/>
        </w:rPr>
        <w:t>Heavy metals in soils and plants of serpentine and industrial sites of Albania.</w:t>
      </w:r>
      <w:proofErr w:type="gramEnd"/>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Sci Total Environ. </w:t>
      </w:r>
      <w:r w:rsidRPr="000C05D1">
        <w:rPr>
          <w:rStyle w:val="element-citation"/>
          <w:rFonts w:ascii="Times New Roman" w:hAnsi="Times New Roman" w:cs="Times New Roman"/>
          <w:color w:val="auto"/>
          <w:sz w:val="28"/>
          <w:szCs w:val="28"/>
        </w:rPr>
        <w:t>1998</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19209</w:t>
      </w:r>
      <w:r w:rsidRPr="000C05D1">
        <w:rPr>
          <w:rStyle w:val="element-citation"/>
          <w:rFonts w:ascii="Times New Roman" w:hAnsi="Times New Roman" w:cs="Times New Roman"/>
          <w:color w:val="auto"/>
          <w:sz w:val="28"/>
          <w:szCs w:val="28"/>
        </w:rPr>
        <w:t>:133</w:t>
      </w:r>
      <w:proofErr w:type="gramEnd"/>
      <w:r w:rsidRPr="000C05D1">
        <w:rPr>
          <w:rStyle w:val="element-citation"/>
          <w:rFonts w:ascii="Times New Roman" w:hAnsi="Times New Roman" w:cs="Times New Roman"/>
          <w:color w:val="auto"/>
          <w:sz w:val="28"/>
          <w:szCs w:val="28"/>
        </w:rPr>
        <w:t>–142. </w:t>
      </w:r>
      <w:r w:rsidRPr="000C05D1">
        <w:rPr>
          <w:rStyle w:val="nowraprefpubmed"/>
          <w:rFonts w:ascii="Times New Roman" w:hAnsi="Times New Roman" w:cs="Times New Roman"/>
          <w:color w:val="auto"/>
          <w:sz w:val="28"/>
          <w:szCs w:val="28"/>
        </w:rPr>
        <w:t>[</w:t>
      </w:r>
      <w:hyperlink r:id="rId461"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8. </w:t>
      </w:r>
      <w:r w:rsidRPr="000C05D1">
        <w:rPr>
          <w:rStyle w:val="element-citation"/>
          <w:rFonts w:ascii="Times New Roman" w:hAnsi="Times New Roman" w:cs="Times New Roman"/>
          <w:color w:val="auto"/>
          <w:sz w:val="28"/>
          <w:szCs w:val="28"/>
        </w:rPr>
        <w:t xml:space="preserve">Nriagu JO. </w:t>
      </w:r>
      <w:proofErr w:type="gramStart"/>
      <w:r w:rsidRPr="000C05D1">
        <w:rPr>
          <w:rStyle w:val="element-citation"/>
          <w:rFonts w:ascii="Times New Roman" w:hAnsi="Times New Roman" w:cs="Times New Roman"/>
          <w:color w:val="auto"/>
          <w:sz w:val="28"/>
          <w:szCs w:val="28"/>
        </w:rPr>
        <w:t>A global assessment of natural sources of atmospheric trace metals.</w:t>
      </w:r>
      <w:proofErr w:type="gramEnd"/>
      <w:r w:rsidRPr="000C05D1">
        <w:rPr>
          <w:rStyle w:val="element-citation"/>
          <w:rFonts w:ascii="Times New Roman" w:hAnsi="Times New Roman" w:cs="Times New Roman"/>
          <w:color w:val="auto"/>
          <w:sz w:val="28"/>
          <w:szCs w:val="28"/>
        </w:rPr>
        <w:t> </w:t>
      </w:r>
      <w:proofErr w:type="gramStart"/>
      <w:r w:rsidRPr="000C05D1">
        <w:rPr>
          <w:rStyle w:val="ref-journal"/>
          <w:rFonts w:ascii="Times New Roman" w:hAnsi="Times New Roman" w:cs="Times New Roman"/>
          <w:color w:val="auto"/>
          <w:sz w:val="28"/>
          <w:szCs w:val="28"/>
        </w:rPr>
        <w:t>Nature.</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1989</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338</w:t>
      </w:r>
      <w:r w:rsidRPr="000C05D1">
        <w:rPr>
          <w:rStyle w:val="element-citation"/>
          <w:rFonts w:ascii="Times New Roman" w:hAnsi="Times New Roman" w:cs="Times New Roman"/>
          <w:color w:val="auto"/>
          <w:sz w:val="28"/>
          <w:szCs w:val="28"/>
        </w:rPr>
        <w:t>:47</w:t>
      </w:r>
      <w:proofErr w:type="gramEnd"/>
      <w:r w:rsidRPr="000C05D1">
        <w:rPr>
          <w:rStyle w:val="element-citation"/>
          <w:rFonts w:ascii="Times New Roman" w:hAnsi="Times New Roman" w:cs="Times New Roman"/>
          <w:color w:val="auto"/>
          <w:sz w:val="28"/>
          <w:szCs w:val="28"/>
        </w:rPr>
        <w:t>–49.</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9. </w:t>
      </w:r>
      <w:r w:rsidRPr="000C05D1">
        <w:rPr>
          <w:rStyle w:val="element-citation"/>
          <w:rFonts w:ascii="Times New Roman" w:hAnsi="Times New Roman" w:cs="Times New Roman"/>
          <w:color w:val="auto"/>
          <w:sz w:val="28"/>
          <w:szCs w:val="28"/>
        </w:rPr>
        <w:t>Arruti A, Fernández-Olmo I, Irabien A. Evaluation of the contribution of local sources to trace metals levels in urban PM2.5 and PM10 in the Cantabria region (</w:t>
      </w:r>
      <w:smartTag w:uri="urn:schemas-microsoft-com:office:smarttags" w:element="place">
        <w:r w:rsidRPr="000C05D1">
          <w:rPr>
            <w:rStyle w:val="element-citation"/>
            <w:rFonts w:ascii="Times New Roman" w:hAnsi="Times New Roman" w:cs="Times New Roman"/>
            <w:color w:val="auto"/>
            <w:sz w:val="28"/>
            <w:szCs w:val="28"/>
          </w:rPr>
          <w:t>Northern Spain</w:t>
        </w:r>
      </w:smartTag>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J Environ Monit. </w:t>
      </w:r>
      <w:r w:rsidRPr="000C05D1">
        <w:rPr>
          <w:rStyle w:val="element-citation"/>
          <w:rFonts w:ascii="Times New Roman" w:hAnsi="Times New Roman" w:cs="Times New Roman"/>
          <w:color w:val="auto"/>
          <w:sz w:val="28"/>
          <w:szCs w:val="28"/>
        </w:rPr>
        <w:t>2010</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12</w:t>
      </w:r>
      <w:proofErr w:type="gramEnd"/>
      <w:r w:rsidRPr="000C05D1">
        <w:rPr>
          <w:rStyle w:val="element-citation"/>
          <w:rFonts w:ascii="Times New Roman" w:hAnsi="Times New Roman" w:cs="Times New Roman"/>
          <w:color w:val="auto"/>
          <w:sz w:val="28"/>
          <w:szCs w:val="28"/>
        </w:rPr>
        <w:t>(7):1451–1458. </w:t>
      </w:r>
      <w:r w:rsidRPr="000C05D1">
        <w:rPr>
          <w:rStyle w:val="nowraprefpubmed"/>
          <w:rFonts w:ascii="Times New Roman" w:hAnsi="Times New Roman" w:cs="Times New Roman"/>
          <w:color w:val="auto"/>
          <w:sz w:val="28"/>
          <w:szCs w:val="28"/>
        </w:rPr>
        <w:t>[</w:t>
      </w:r>
      <w:hyperlink r:id="rId462"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10. </w:t>
      </w:r>
      <w:r w:rsidRPr="000C05D1">
        <w:rPr>
          <w:rStyle w:val="element-citation"/>
          <w:rFonts w:ascii="Times New Roman" w:hAnsi="Times New Roman" w:cs="Times New Roman"/>
          <w:color w:val="auto"/>
          <w:sz w:val="28"/>
          <w:szCs w:val="28"/>
        </w:rPr>
        <w:t>Sträter E, Westbeld A, Klemm O. Pollution in coastal fog at Alto Patache, Northern Chile. </w:t>
      </w:r>
      <w:r w:rsidRPr="000C05D1">
        <w:rPr>
          <w:rStyle w:val="ref-journal"/>
          <w:rFonts w:ascii="Times New Roman" w:hAnsi="Times New Roman" w:cs="Times New Roman"/>
          <w:color w:val="auto"/>
          <w:sz w:val="28"/>
          <w:szCs w:val="28"/>
        </w:rPr>
        <w:t>Environ Sci Pollut Res Int. </w:t>
      </w:r>
      <w:r w:rsidRPr="000C05D1">
        <w:rPr>
          <w:rStyle w:val="element-citation"/>
          <w:rFonts w:ascii="Times New Roman" w:hAnsi="Times New Roman" w:cs="Times New Roman"/>
          <w:color w:val="auto"/>
          <w:sz w:val="28"/>
          <w:szCs w:val="28"/>
        </w:rPr>
        <w:t>2010 [Epub ahead of print] </w:t>
      </w:r>
      <w:r w:rsidRPr="000C05D1">
        <w:rPr>
          <w:rStyle w:val="nowraprefpubmed"/>
          <w:rFonts w:ascii="Times New Roman" w:hAnsi="Times New Roman" w:cs="Times New Roman"/>
          <w:color w:val="auto"/>
          <w:sz w:val="28"/>
          <w:szCs w:val="28"/>
        </w:rPr>
        <w:t>[</w:t>
      </w:r>
      <w:hyperlink r:id="rId463"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11. </w:t>
      </w:r>
      <w:r w:rsidRPr="000C05D1">
        <w:rPr>
          <w:rStyle w:val="element-citation"/>
          <w:rFonts w:ascii="Times New Roman" w:hAnsi="Times New Roman" w:cs="Times New Roman"/>
          <w:color w:val="auto"/>
          <w:sz w:val="28"/>
          <w:szCs w:val="28"/>
        </w:rPr>
        <w:t xml:space="preserve">Pacyna JM. </w:t>
      </w:r>
      <w:proofErr w:type="gramStart"/>
      <w:r w:rsidRPr="000C05D1">
        <w:rPr>
          <w:rStyle w:val="element-citation"/>
          <w:rFonts w:ascii="Times New Roman" w:hAnsi="Times New Roman" w:cs="Times New Roman"/>
          <w:color w:val="auto"/>
          <w:sz w:val="28"/>
          <w:szCs w:val="28"/>
        </w:rPr>
        <w:t>Monitoring and assessment of metal contaminants in the air.</w:t>
      </w:r>
      <w:proofErr w:type="gramEnd"/>
      <w:r w:rsidRPr="000C05D1">
        <w:rPr>
          <w:rStyle w:val="element-citation"/>
          <w:rFonts w:ascii="Times New Roman" w:hAnsi="Times New Roman" w:cs="Times New Roman"/>
          <w:color w:val="auto"/>
          <w:sz w:val="28"/>
          <w:szCs w:val="28"/>
        </w:rPr>
        <w:t xml:space="preserve"> In: Chang LW, Magos L, Suzuli T, editors. </w:t>
      </w:r>
      <w:proofErr w:type="gramStart"/>
      <w:r w:rsidRPr="000C05D1">
        <w:rPr>
          <w:rStyle w:val="ref-journal"/>
          <w:rFonts w:ascii="Times New Roman" w:hAnsi="Times New Roman" w:cs="Times New Roman"/>
          <w:color w:val="auto"/>
          <w:sz w:val="28"/>
          <w:szCs w:val="28"/>
        </w:rPr>
        <w:t>Toxicology of Metals.</w:t>
      </w:r>
      <w:proofErr w:type="gramEnd"/>
      <w:r w:rsidRPr="000C05D1">
        <w:rPr>
          <w:rStyle w:val="element-citation"/>
          <w:rFonts w:ascii="Times New Roman" w:hAnsi="Times New Roman" w:cs="Times New Roman"/>
          <w:color w:val="auto"/>
          <w:sz w:val="28"/>
          <w:szCs w:val="28"/>
        </w:rPr>
        <w:t>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Boca Raton</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FL</w:t>
          </w:r>
        </w:smartTag>
      </w:smartTag>
      <w:r w:rsidRPr="000C05D1">
        <w:rPr>
          <w:rStyle w:val="element-citation"/>
          <w:rFonts w:ascii="Times New Roman" w:hAnsi="Times New Roman" w:cs="Times New Roman"/>
          <w:color w:val="auto"/>
          <w:sz w:val="28"/>
          <w:szCs w:val="28"/>
        </w:rPr>
        <w:t>: CRC Press; 1996. pp. 9–28.</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12. </w:t>
      </w:r>
      <w:r w:rsidRPr="000C05D1">
        <w:rPr>
          <w:rStyle w:val="element-citation"/>
          <w:rFonts w:ascii="Times New Roman" w:hAnsi="Times New Roman" w:cs="Times New Roman"/>
          <w:color w:val="auto"/>
          <w:sz w:val="28"/>
          <w:szCs w:val="28"/>
        </w:rPr>
        <w:t>WHO/FAO/IAEA. </w:t>
      </w:r>
      <w:proofErr w:type="gramStart"/>
      <w:r w:rsidRPr="000C05D1">
        <w:rPr>
          <w:rStyle w:val="ref-journal"/>
          <w:rFonts w:ascii="Times New Roman" w:hAnsi="Times New Roman" w:cs="Times New Roman"/>
          <w:color w:val="auto"/>
          <w:sz w:val="28"/>
          <w:szCs w:val="28"/>
        </w:rPr>
        <w:t>World Health Organization.</w:t>
      </w:r>
      <w:proofErr w:type="gramEnd"/>
      <w:r w:rsidRPr="000C05D1">
        <w:rPr>
          <w:rStyle w:val="element-citation"/>
          <w:rFonts w:ascii="Times New Roman" w:hAnsi="Times New Roman" w:cs="Times New Roman"/>
          <w:color w:val="auto"/>
          <w:sz w:val="28"/>
          <w:szCs w:val="28"/>
        </w:rPr>
        <w:t> </w:t>
      </w:r>
      <w:smartTag w:uri="urn:schemas-microsoft-com:office:smarttags" w:element="country-region">
        <w:r w:rsidRPr="000C05D1">
          <w:rPr>
            <w:rStyle w:val="element-citation"/>
            <w:rFonts w:ascii="Times New Roman" w:hAnsi="Times New Roman" w:cs="Times New Roman"/>
            <w:color w:val="auto"/>
            <w:sz w:val="28"/>
            <w:szCs w:val="28"/>
          </w:rPr>
          <w:t>Switzerland</w:t>
        </w:r>
      </w:smartTag>
      <w:r w:rsidRPr="000C05D1">
        <w:rPr>
          <w:rStyle w:val="element-citation"/>
          <w:rFonts w:ascii="Times New Roman" w:hAnsi="Times New Roman" w:cs="Times New Roman"/>
          <w:color w:val="auto"/>
          <w:sz w:val="28"/>
          <w:szCs w:val="28"/>
        </w:rPr>
        <w:t xml:space="preserve">: </w:t>
      </w:r>
      <w:smartTag w:uri="urn:schemas-microsoft-com:office:smarttags" w:element="City">
        <w:smartTag w:uri="urn:schemas-microsoft-com:office:smarttags" w:element="place">
          <w:r w:rsidRPr="000C05D1">
            <w:rPr>
              <w:rStyle w:val="element-citation"/>
              <w:rFonts w:ascii="Times New Roman" w:hAnsi="Times New Roman" w:cs="Times New Roman"/>
              <w:color w:val="auto"/>
              <w:sz w:val="28"/>
              <w:szCs w:val="28"/>
            </w:rPr>
            <w:t>Geneva</w:t>
          </w:r>
        </w:smartTag>
      </w:smartTag>
      <w:r w:rsidRPr="000C05D1">
        <w:rPr>
          <w:rStyle w:val="element-citation"/>
          <w:rFonts w:ascii="Times New Roman" w:hAnsi="Times New Roman" w:cs="Times New Roman"/>
          <w:color w:val="auto"/>
          <w:sz w:val="28"/>
          <w:szCs w:val="28"/>
        </w:rPr>
        <w:t xml:space="preserve">; 1996. </w:t>
      </w:r>
      <w:proofErr w:type="gramStart"/>
      <w:r w:rsidRPr="000C05D1">
        <w:rPr>
          <w:rStyle w:val="element-citation"/>
          <w:rFonts w:ascii="Times New Roman" w:hAnsi="Times New Roman" w:cs="Times New Roman"/>
          <w:color w:val="auto"/>
          <w:sz w:val="28"/>
          <w:szCs w:val="28"/>
        </w:rPr>
        <w:t>Trace Elements in Human Nutrition and Health.</w:t>
      </w:r>
      <w:proofErr w:type="gramEnd"/>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13. </w:t>
      </w:r>
      <w:r w:rsidRPr="000C05D1">
        <w:rPr>
          <w:rStyle w:val="element-citation"/>
          <w:rFonts w:ascii="Times New Roman" w:hAnsi="Times New Roman" w:cs="Times New Roman"/>
          <w:color w:val="auto"/>
          <w:sz w:val="28"/>
          <w:szCs w:val="28"/>
        </w:rPr>
        <w:t>Kabata- Pendia A 3rd, editor. </w:t>
      </w:r>
      <w:proofErr w:type="gramStart"/>
      <w:r w:rsidRPr="000C05D1">
        <w:rPr>
          <w:rStyle w:val="ref-journal"/>
          <w:rFonts w:ascii="Times New Roman" w:hAnsi="Times New Roman" w:cs="Times New Roman"/>
          <w:color w:val="auto"/>
          <w:sz w:val="28"/>
          <w:szCs w:val="28"/>
        </w:rPr>
        <w:t>Trace Elements in Soils and Plants.</w:t>
      </w:r>
      <w:proofErr w:type="gramEnd"/>
      <w:r w:rsidRPr="000C05D1">
        <w:rPr>
          <w:rStyle w:val="element-citation"/>
          <w:rFonts w:ascii="Times New Roman" w:hAnsi="Times New Roman" w:cs="Times New Roman"/>
          <w:color w:val="auto"/>
          <w:sz w:val="28"/>
          <w:szCs w:val="28"/>
        </w:rPr>
        <w:t>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Boca Raton</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FL</w:t>
          </w:r>
        </w:smartTag>
      </w:smartTag>
      <w:r w:rsidRPr="000C05D1">
        <w:rPr>
          <w:rStyle w:val="element-citation"/>
          <w:rFonts w:ascii="Times New Roman" w:hAnsi="Times New Roman" w:cs="Times New Roman"/>
          <w:color w:val="auto"/>
          <w:sz w:val="28"/>
          <w:szCs w:val="28"/>
        </w:rPr>
        <w:t>: CRC Press; 2001.</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proofErr w:type="gramStart"/>
      <w:r w:rsidRPr="000C05D1">
        <w:rPr>
          <w:rFonts w:ascii="Times New Roman" w:hAnsi="Times New Roman" w:cs="Times New Roman"/>
          <w:color w:val="auto"/>
          <w:sz w:val="28"/>
          <w:szCs w:val="28"/>
        </w:rPr>
        <w:t>14. </w:t>
      </w:r>
      <w:r w:rsidRPr="000C05D1">
        <w:rPr>
          <w:rStyle w:val="element-citation"/>
          <w:rFonts w:ascii="Times New Roman" w:hAnsi="Times New Roman" w:cs="Times New Roman"/>
          <w:color w:val="auto"/>
          <w:sz w:val="28"/>
          <w:szCs w:val="28"/>
        </w:rPr>
        <w:t>Hamelink JL, Landrum PF, Harold BL, William BH, editors.</w:t>
      </w:r>
      <w:proofErr w:type="gramEnd"/>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Bioavailability: Physical, Chemical, and Biological Interactions.</w:t>
      </w:r>
      <w:r w:rsidRPr="000C05D1">
        <w:rPr>
          <w:rStyle w:val="element-citation"/>
          <w:rFonts w:ascii="Times New Roman" w:hAnsi="Times New Roman" w:cs="Times New Roman"/>
          <w:color w:val="auto"/>
          <w:sz w:val="28"/>
          <w:szCs w:val="28"/>
        </w:rPr>
        <w:t>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Boca Raton</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FL</w:t>
          </w:r>
        </w:smartTag>
      </w:smartTag>
      <w:r w:rsidRPr="000C05D1">
        <w:rPr>
          <w:rStyle w:val="element-citation"/>
          <w:rFonts w:ascii="Times New Roman" w:hAnsi="Times New Roman" w:cs="Times New Roman"/>
          <w:color w:val="auto"/>
          <w:sz w:val="28"/>
          <w:szCs w:val="28"/>
        </w:rPr>
        <w:t>: CRC Press Inc; 1994.</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15. </w:t>
      </w:r>
      <w:r w:rsidRPr="000C05D1">
        <w:rPr>
          <w:rStyle w:val="element-citation"/>
          <w:rFonts w:ascii="Times New Roman" w:hAnsi="Times New Roman" w:cs="Times New Roman"/>
          <w:color w:val="auto"/>
          <w:sz w:val="28"/>
          <w:szCs w:val="28"/>
        </w:rPr>
        <w:t>Verkleji JAS. In: </w:t>
      </w:r>
      <w:r w:rsidRPr="000C05D1">
        <w:rPr>
          <w:rStyle w:val="ref-journal"/>
          <w:rFonts w:ascii="Times New Roman" w:hAnsi="Times New Roman" w:cs="Times New Roman"/>
          <w:color w:val="auto"/>
          <w:sz w:val="28"/>
          <w:szCs w:val="28"/>
        </w:rPr>
        <w:t>The effects of heavy metals stress on higher plants and their use as biomonitors In Plant as Bioindicators: Indicators of Heavy Metals in the Terrestrial Environment.</w:t>
      </w:r>
      <w:r w:rsidRPr="000C05D1">
        <w:rPr>
          <w:rStyle w:val="element-citation"/>
          <w:rFonts w:ascii="Times New Roman" w:hAnsi="Times New Roman" w:cs="Times New Roman"/>
          <w:color w:val="auto"/>
          <w:sz w:val="28"/>
          <w:szCs w:val="28"/>
        </w:rPr>
        <w:t xml:space="preserve"> Markert B, editor. </w:t>
      </w:r>
      <w:smartTag w:uri="urn:schemas-microsoft-com:office:smarttags" w:element="State">
        <w:smartTag w:uri="urn:schemas-microsoft-com:office:smarttags" w:element="place">
          <w:r w:rsidRPr="000C05D1">
            <w:rPr>
              <w:rStyle w:val="element-citation"/>
              <w:rFonts w:ascii="Times New Roman" w:hAnsi="Times New Roman" w:cs="Times New Roman"/>
              <w:color w:val="auto"/>
              <w:sz w:val="28"/>
              <w:szCs w:val="28"/>
            </w:rPr>
            <w:t>New York</w:t>
          </w:r>
        </w:smartTag>
      </w:smartTag>
      <w:r w:rsidRPr="000C05D1">
        <w:rPr>
          <w:rStyle w:val="element-citation"/>
          <w:rFonts w:ascii="Times New Roman" w:hAnsi="Times New Roman" w:cs="Times New Roman"/>
          <w:color w:val="auto"/>
          <w:sz w:val="28"/>
          <w:szCs w:val="28"/>
        </w:rPr>
        <w:t>: VCH; 1993. pp. 415–424.</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16. </w:t>
      </w:r>
      <w:r w:rsidRPr="000C05D1">
        <w:rPr>
          <w:rStyle w:val="element-citation"/>
          <w:rFonts w:ascii="Times New Roman" w:hAnsi="Times New Roman" w:cs="Times New Roman"/>
          <w:color w:val="auto"/>
          <w:sz w:val="28"/>
          <w:szCs w:val="28"/>
        </w:rPr>
        <w:t>Stern BR. Essentiality and toxicity in copper health risk assessment: overview, update and regulatory considerations. </w:t>
      </w:r>
      <w:r w:rsidRPr="000C05D1">
        <w:rPr>
          <w:rStyle w:val="ref-journal"/>
          <w:rFonts w:ascii="Times New Roman" w:hAnsi="Times New Roman" w:cs="Times New Roman"/>
          <w:color w:val="auto"/>
          <w:sz w:val="28"/>
          <w:szCs w:val="28"/>
        </w:rPr>
        <w:t>Toxicol Environ Health A. </w:t>
      </w:r>
      <w:r w:rsidRPr="000C05D1">
        <w:rPr>
          <w:rStyle w:val="element-citation"/>
          <w:rFonts w:ascii="Times New Roman" w:hAnsi="Times New Roman" w:cs="Times New Roman"/>
          <w:color w:val="auto"/>
          <w:sz w:val="28"/>
          <w:szCs w:val="28"/>
        </w:rPr>
        <w:t>2010</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73</w:t>
      </w:r>
      <w:proofErr w:type="gramEnd"/>
      <w:r w:rsidRPr="000C05D1">
        <w:rPr>
          <w:rStyle w:val="element-citation"/>
          <w:rFonts w:ascii="Times New Roman" w:hAnsi="Times New Roman" w:cs="Times New Roman"/>
          <w:color w:val="auto"/>
          <w:sz w:val="28"/>
          <w:szCs w:val="28"/>
        </w:rPr>
        <w:t>(2):114–127. </w:t>
      </w:r>
      <w:r w:rsidRPr="000C05D1">
        <w:rPr>
          <w:rStyle w:val="nowraprefpubmed"/>
          <w:rFonts w:ascii="Times New Roman" w:hAnsi="Times New Roman" w:cs="Times New Roman"/>
          <w:color w:val="auto"/>
          <w:sz w:val="28"/>
          <w:szCs w:val="28"/>
        </w:rPr>
        <w:t>[</w:t>
      </w:r>
      <w:hyperlink r:id="rId464"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17. </w:t>
      </w:r>
      <w:r w:rsidRPr="000C05D1">
        <w:rPr>
          <w:rStyle w:val="element-citation"/>
          <w:rFonts w:ascii="Times New Roman" w:hAnsi="Times New Roman" w:cs="Times New Roman"/>
          <w:color w:val="auto"/>
          <w:sz w:val="28"/>
          <w:szCs w:val="28"/>
        </w:rPr>
        <w:t>Harvey LJ, McArdle HJ. Biomarkers of copper status: a brief update. </w:t>
      </w:r>
      <w:proofErr w:type="gramStart"/>
      <w:r w:rsidRPr="000C05D1">
        <w:rPr>
          <w:rStyle w:val="ref-journal"/>
          <w:rFonts w:ascii="Times New Roman" w:hAnsi="Times New Roman" w:cs="Times New Roman"/>
          <w:color w:val="auto"/>
          <w:sz w:val="28"/>
          <w:szCs w:val="28"/>
        </w:rPr>
        <w:t>Br J Nutr.</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2008</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99</w:t>
      </w:r>
      <w:proofErr w:type="gramEnd"/>
      <w:r w:rsidRPr="000C05D1">
        <w:rPr>
          <w:rStyle w:val="element-citation"/>
          <w:rFonts w:ascii="Times New Roman" w:hAnsi="Times New Roman" w:cs="Times New Roman"/>
          <w:color w:val="auto"/>
          <w:sz w:val="28"/>
          <w:szCs w:val="28"/>
        </w:rPr>
        <w:t>(S3):S10–S13.</w:t>
      </w:r>
      <w:r w:rsidRPr="000C05D1">
        <w:rPr>
          <w:rStyle w:val="nowraprefpubmed"/>
          <w:rFonts w:ascii="Times New Roman" w:hAnsi="Times New Roman" w:cs="Times New Roman"/>
          <w:color w:val="auto"/>
          <w:sz w:val="28"/>
          <w:szCs w:val="28"/>
        </w:rPr>
        <w:t>[</w:t>
      </w:r>
      <w:hyperlink r:id="rId465"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lastRenderedPageBreak/>
        <w:t>18. </w:t>
      </w:r>
      <w:r w:rsidRPr="000C05D1">
        <w:rPr>
          <w:rStyle w:val="element-citation"/>
          <w:rFonts w:ascii="Times New Roman" w:hAnsi="Times New Roman" w:cs="Times New Roman"/>
          <w:color w:val="auto"/>
          <w:sz w:val="28"/>
          <w:szCs w:val="28"/>
        </w:rPr>
        <w:t>Agency for Toxic Substances and Disease Registry (ATSDR) </w:t>
      </w:r>
      <w:r w:rsidRPr="000C05D1">
        <w:rPr>
          <w:rStyle w:val="ref-journal"/>
          <w:rFonts w:ascii="Times New Roman" w:hAnsi="Times New Roman" w:cs="Times New Roman"/>
          <w:color w:val="auto"/>
          <w:sz w:val="28"/>
          <w:szCs w:val="28"/>
        </w:rPr>
        <w:t>Toxicological Profile for Copper.</w:t>
      </w:r>
      <w:r w:rsidRPr="000C05D1">
        <w:rPr>
          <w:rStyle w:val="element-citation"/>
          <w:rFonts w:ascii="Times New Roman" w:hAnsi="Times New Roman" w:cs="Times New Roman"/>
          <w:color w:val="auto"/>
          <w:sz w:val="28"/>
          <w:szCs w:val="28"/>
        </w:rPr>
        <w:t>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Atlanta</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GA</w:t>
          </w:r>
        </w:smartTag>
      </w:smartTag>
      <w:r w:rsidRPr="000C05D1">
        <w:rPr>
          <w:rStyle w:val="element-citation"/>
          <w:rFonts w:ascii="Times New Roman" w:hAnsi="Times New Roman" w:cs="Times New Roman"/>
          <w:color w:val="auto"/>
          <w:sz w:val="28"/>
          <w:szCs w:val="28"/>
        </w:rPr>
        <w:t>: Centers for Disease Control; 2002.</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19. </w:t>
      </w:r>
      <w:r w:rsidRPr="000C05D1">
        <w:rPr>
          <w:rStyle w:val="element-citation"/>
          <w:rFonts w:ascii="Times New Roman" w:hAnsi="Times New Roman" w:cs="Times New Roman"/>
          <w:color w:val="auto"/>
          <w:sz w:val="28"/>
          <w:szCs w:val="28"/>
        </w:rPr>
        <w:t>Tchounwou P, Newsome C, Williams J, Glass K. Copper-induced cytotoxicity and transcriptional activation of stress genes in human liver carcinoma cells. </w:t>
      </w:r>
      <w:r w:rsidRPr="000C05D1">
        <w:rPr>
          <w:rStyle w:val="ref-journal"/>
          <w:rFonts w:ascii="Times New Roman" w:hAnsi="Times New Roman" w:cs="Times New Roman"/>
          <w:color w:val="auto"/>
          <w:sz w:val="28"/>
          <w:szCs w:val="28"/>
        </w:rPr>
        <w:t>Metal Ions Biol Med. </w:t>
      </w:r>
      <w:r w:rsidRPr="000C05D1">
        <w:rPr>
          <w:rStyle w:val="element-citation"/>
          <w:rFonts w:ascii="Times New Roman" w:hAnsi="Times New Roman" w:cs="Times New Roman"/>
          <w:color w:val="auto"/>
          <w:sz w:val="28"/>
          <w:szCs w:val="28"/>
        </w:rPr>
        <w:t>2008</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10</w:t>
      </w:r>
      <w:r w:rsidRPr="000C05D1">
        <w:rPr>
          <w:rStyle w:val="element-citation"/>
          <w:rFonts w:ascii="Times New Roman" w:hAnsi="Times New Roman" w:cs="Times New Roman"/>
          <w:color w:val="auto"/>
          <w:sz w:val="28"/>
          <w:szCs w:val="28"/>
        </w:rPr>
        <w:t>:285</w:t>
      </w:r>
      <w:proofErr w:type="gramEnd"/>
      <w:r w:rsidRPr="000C05D1">
        <w:rPr>
          <w:rStyle w:val="element-citation"/>
          <w:rFonts w:ascii="Times New Roman" w:hAnsi="Times New Roman" w:cs="Times New Roman"/>
          <w:color w:val="auto"/>
          <w:sz w:val="28"/>
          <w:szCs w:val="28"/>
        </w:rPr>
        <w:t>–290.</w:t>
      </w:r>
      <w:r w:rsidRPr="000C05D1">
        <w:rPr>
          <w:rStyle w:val="nowraprefpmc"/>
          <w:rFonts w:ascii="Times New Roman" w:hAnsi="Times New Roman" w:cs="Times New Roman"/>
          <w:color w:val="auto"/>
          <w:sz w:val="28"/>
          <w:szCs w:val="28"/>
        </w:rPr>
        <w:t>[</w:t>
      </w:r>
      <w:hyperlink r:id="rId466"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67"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20. </w:t>
      </w:r>
      <w:r w:rsidRPr="000C05D1">
        <w:rPr>
          <w:rStyle w:val="element-citation"/>
          <w:rFonts w:ascii="Times New Roman" w:hAnsi="Times New Roman" w:cs="Times New Roman"/>
          <w:color w:val="auto"/>
          <w:sz w:val="28"/>
          <w:szCs w:val="28"/>
        </w:rPr>
        <w:t>Chang LW, Magos L, Suzuki T, editors. </w:t>
      </w:r>
      <w:proofErr w:type="gramStart"/>
      <w:r w:rsidRPr="000C05D1">
        <w:rPr>
          <w:rStyle w:val="ref-journal"/>
          <w:rFonts w:ascii="Times New Roman" w:hAnsi="Times New Roman" w:cs="Times New Roman"/>
          <w:color w:val="auto"/>
          <w:sz w:val="28"/>
          <w:szCs w:val="28"/>
        </w:rPr>
        <w:t>Toxicology of Metals.</w:t>
      </w:r>
      <w:proofErr w:type="gramEnd"/>
      <w:r w:rsidRPr="000C05D1">
        <w:rPr>
          <w:rStyle w:val="element-citation"/>
          <w:rFonts w:ascii="Times New Roman" w:hAnsi="Times New Roman" w:cs="Times New Roman"/>
          <w:color w:val="auto"/>
          <w:sz w:val="28"/>
          <w:szCs w:val="28"/>
        </w:rPr>
        <w:t> </w:t>
      </w:r>
      <w:smartTag w:uri="urn:schemas-microsoft-com:office:smarttags" w:element="City">
        <w:smartTag w:uri="urn:schemas-microsoft-com:office:smarttags" w:element="place">
          <w:r w:rsidRPr="000C05D1">
            <w:rPr>
              <w:rStyle w:val="element-citation"/>
              <w:rFonts w:ascii="Times New Roman" w:hAnsi="Times New Roman" w:cs="Times New Roman"/>
              <w:color w:val="auto"/>
              <w:sz w:val="28"/>
              <w:szCs w:val="28"/>
            </w:rPr>
            <w:t>Boca Raton</w:t>
          </w:r>
        </w:smartTag>
      </w:smartTag>
      <w:r w:rsidRPr="000C05D1">
        <w:rPr>
          <w:rStyle w:val="element-citation"/>
          <w:rFonts w:ascii="Times New Roman" w:hAnsi="Times New Roman" w:cs="Times New Roman"/>
          <w:color w:val="auto"/>
          <w:sz w:val="28"/>
          <w:szCs w:val="28"/>
        </w:rPr>
        <w:t xml:space="preserve">. FL, </w:t>
      </w:r>
      <w:smartTag w:uri="urn:schemas-microsoft-com:office:smarttags" w:element="country-region">
        <w:smartTag w:uri="urn:schemas-microsoft-com:office:smarttags" w:element="place">
          <w:r w:rsidRPr="000C05D1">
            <w:rPr>
              <w:rStyle w:val="element-citation"/>
              <w:rFonts w:ascii="Times New Roman" w:hAnsi="Times New Roman" w:cs="Times New Roman"/>
              <w:color w:val="auto"/>
              <w:sz w:val="28"/>
              <w:szCs w:val="28"/>
            </w:rPr>
            <w:t>USA</w:t>
          </w:r>
        </w:smartTag>
      </w:smartTag>
      <w:r w:rsidRPr="000C05D1">
        <w:rPr>
          <w:rStyle w:val="element-citation"/>
          <w:rFonts w:ascii="Times New Roman" w:hAnsi="Times New Roman" w:cs="Times New Roman"/>
          <w:color w:val="auto"/>
          <w:sz w:val="28"/>
          <w:szCs w:val="28"/>
        </w:rPr>
        <w:t>: CRC Press; 1996.</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21. </w:t>
      </w:r>
      <w:r w:rsidRPr="000C05D1">
        <w:rPr>
          <w:rStyle w:val="element-citation"/>
          <w:rFonts w:ascii="Times New Roman" w:hAnsi="Times New Roman" w:cs="Times New Roman"/>
          <w:color w:val="auto"/>
          <w:sz w:val="28"/>
          <w:szCs w:val="28"/>
        </w:rPr>
        <w:t>Wang S, Shi X. Molecular mechanisms of metal toxicity and carcinogenesis. </w:t>
      </w:r>
      <w:proofErr w:type="gramStart"/>
      <w:r w:rsidRPr="000C05D1">
        <w:rPr>
          <w:rStyle w:val="ref-journal"/>
          <w:rFonts w:ascii="Times New Roman" w:hAnsi="Times New Roman" w:cs="Times New Roman"/>
          <w:color w:val="auto"/>
          <w:sz w:val="28"/>
          <w:szCs w:val="28"/>
        </w:rPr>
        <w:t>Mol Cell Biochem.</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2001</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222</w:t>
      </w:r>
      <w:r w:rsidRPr="000C05D1">
        <w:rPr>
          <w:rStyle w:val="element-citation"/>
          <w:rFonts w:ascii="Times New Roman" w:hAnsi="Times New Roman" w:cs="Times New Roman"/>
          <w:color w:val="auto"/>
          <w:sz w:val="28"/>
          <w:szCs w:val="28"/>
        </w:rPr>
        <w:t>:3</w:t>
      </w:r>
      <w:proofErr w:type="gramEnd"/>
      <w:r w:rsidRPr="000C05D1">
        <w:rPr>
          <w:rStyle w:val="element-citation"/>
          <w:rFonts w:ascii="Times New Roman" w:hAnsi="Times New Roman" w:cs="Times New Roman"/>
          <w:color w:val="auto"/>
          <w:sz w:val="28"/>
          <w:szCs w:val="28"/>
        </w:rPr>
        <w:t>–9. </w:t>
      </w:r>
      <w:r w:rsidRPr="000C05D1">
        <w:rPr>
          <w:rStyle w:val="nowraprefpubmed"/>
          <w:rFonts w:ascii="Times New Roman" w:hAnsi="Times New Roman" w:cs="Times New Roman"/>
          <w:color w:val="auto"/>
          <w:sz w:val="28"/>
          <w:szCs w:val="28"/>
        </w:rPr>
        <w:t>[</w:t>
      </w:r>
      <w:hyperlink r:id="rId468"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22. </w:t>
      </w:r>
      <w:r w:rsidRPr="000C05D1">
        <w:rPr>
          <w:rStyle w:val="element-citation"/>
          <w:rFonts w:ascii="Times New Roman" w:hAnsi="Times New Roman" w:cs="Times New Roman"/>
          <w:color w:val="auto"/>
          <w:sz w:val="28"/>
          <w:szCs w:val="28"/>
        </w:rPr>
        <w:t>Beyersmann D, Hartwig A. Carcinogenic metal compounds: recent insight into molecular and cellular mechanisms. </w:t>
      </w:r>
      <w:proofErr w:type="gramStart"/>
      <w:r w:rsidRPr="000C05D1">
        <w:rPr>
          <w:rStyle w:val="ref-journal"/>
          <w:rFonts w:ascii="Times New Roman" w:hAnsi="Times New Roman" w:cs="Times New Roman"/>
          <w:color w:val="auto"/>
          <w:sz w:val="28"/>
          <w:szCs w:val="28"/>
        </w:rPr>
        <w:t>Arch Toxicol.</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2008</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82</w:t>
      </w:r>
      <w:proofErr w:type="gramEnd"/>
      <w:r w:rsidRPr="000C05D1">
        <w:rPr>
          <w:rStyle w:val="element-citation"/>
          <w:rFonts w:ascii="Times New Roman" w:hAnsi="Times New Roman" w:cs="Times New Roman"/>
          <w:color w:val="auto"/>
          <w:sz w:val="28"/>
          <w:szCs w:val="28"/>
        </w:rPr>
        <w:t>(8):493–512. </w:t>
      </w:r>
      <w:r w:rsidRPr="000C05D1">
        <w:rPr>
          <w:rStyle w:val="nowraprefpubmed"/>
          <w:rFonts w:ascii="Times New Roman" w:hAnsi="Times New Roman" w:cs="Times New Roman"/>
          <w:color w:val="auto"/>
          <w:sz w:val="28"/>
          <w:szCs w:val="28"/>
        </w:rPr>
        <w:t>[</w:t>
      </w:r>
      <w:hyperlink r:id="rId469"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23. </w:t>
      </w:r>
      <w:r w:rsidRPr="000C05D1">
        <w:rPr>
          <w:rStyle w:val="element-citation"/>
          <w:rFonts w:ascii="Times New Roman" w:hAnsi="Times New Roman" w:cs="Times New Roman"/>
          <w:color w:val="auto"/>
          <w:sz w:val="28"/>
          <w:szCs w:val="28"/>
        </w:rPr>
        <w:t>Yedjou CG, Tchounwou PB. Oxidative stress in human leukemia cells (HL-60), human liver carcinoma cells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and human Jerkat-T cells exposed to arsenic trioxide. </w:t>
      </w:r>
      <w:r w:rsidRPr="000C05D1">
        <w:rPr>
          <w:rStyle w:val="ref-journal"/>
          <w:rFonts w:ascii="Times New Roman" w:hAnsi="Times New Roman" w:cs="Times New Roman"/>
          <w:color w:val="auto"/>
          <w:sz w:val="28"/>
          <w:szCs w:val="28"/>
        </w:rPr>
        <w:t>Metal Ions Biol Med. </w:t>
      </w:r>
      <w:r w:rsidRPr="000C05D1">
        <w:rPr>
          <w:rStyle w:val="element-citation"/>
          <w:rFonts w:ascii="Times New Roman" w:hAnsi="Times New Roman" w:cs="Times New Roman"/>
          <w:color w:val="auto"/>
          <w:sz w:val="28"/>
          <w:szCs w:val="28"/>
        </w:rPr>
        <w:t>2006</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9</w:t>
      </w:r>
      <w:r w:rsidRPr="000C05D1">
        <w:rPr>
          <w:rStyle w:val="element-citation"/>
          <w:rFonts w:ascii="Times New Roman" w:hAnsi="Times New Roman" w:cs="Times New Roman"/>
          <w:color w:val="auto"/>
          <w:sz w:val="28"/>
          <w:szCs w:val="28"/>
        </w:rPr>
        <w:t>:298</w:t>
      </w:r>
      <w:proofErr w:type="gramEnd"/>
      <w:r w:rsidRPr="000C05D1">
        <w:rPr>
          <w:rStyle w:val="element-citation"/>
          <w:rFonts w:ascii="Times New Roman" w:hAnsi="Times New Roman" w:cs="Times New Roman"/>
          <w:color w:val="auto"/>
          <w:sz w:val="28"/>
          <w:szCs w:val="28"/>
        </w:rPr>
        <w:t>–303.</w:t>
      </w:r>
      <w:r w:rsidRPr="000C05D1">
        <w:rPr>
          <w:rStyle w:val="nowraprefpmc"/>
          <w:rFonts w:ascii="Times New Roman" w:hAnsi="Times New Roman" w:cs="Times New Roman"/>
          <w:color w:val="auto"/>
          <w:sz w:val="28"/>
          <w:szCs w:val="28"/>
        </w:rPr>
        <w:t>[</w:t>
      </w:r>
      <w:hyperlink r:id="rId470"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71"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24. </w:t>
      </w:r>
      <w:r w:rsidRPr="000C05D1">
        <w:rPr>
          <w:rStyle w:val="element-citation"/>
          <w:rFonts w:ascii="Times New Roman" w:hAnsi="Times New Roman" w:cs="Times New Roman"/>
          <w:color w:val="auto"/>
          <w:sz w:val="28"/>
          <w:szCs w:val="28"/>
        </w:rPr>
        <w:t>Yedjou GC, Tchounwou PB. </w:t>
      </w:r>
      <w:r w:rsidRPr="000C05D1">
        <w:rPr>
          <w:rStyle w:val="af4"/>
          <w:rFonts w:ascii="Times New Roman" w:hAnsi="Times New Roman" w:cs="Times New Roman"/>
          <w:color w:val="auto"/>
          <w:sz w:val="28"/>
          <w:szCs w:val="28"/>
        </w:rPr>
        <w:t>In vitro</w:t>
      </w:r>
      <w:r w:rsidRPr="000C05D1">
        <w:rPr>
          <w:rStyle w:val="element-citation"/>
          <w:rFonts w:ascii="Times New Roman" w:hAnsi="Times New Roman" w:cs="Times New Roman"/>
          <w:color w:val="auto"/>
          <w:sz w:val="28"/>
          <w:szCs w:val="28"/>
        </w:rPr>
        <w:t> cytotoxic and genotoxic effects of arsenic trioxide on human leukemia cells using the MTT and alkaline single cell gel electrophoresis (comet) assays. </w:t>
      </w:r>
      <w:proofErr w:type="gramStart"/>
      <w:r w:rsidRPr="000C05D1">
        <w:rPr>
          <w:rStyle w:val="ref-journal"/>
          <w:rFonts w:ascii="Times New Roman" w:hAnsi="Times New Roman" w:cs="Times New Roman"/>
          <w:color w:val="auto"/>
          <w:sz w:val="28"/>
          <w:szCs w:val="28"/>
        </w:rPr>
        <w:t>Mol Cell Biochem.</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2007</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301</w:t>
      </w:r>
      <w:r w:rsidRPr="000C05D1">
        <w:rPr>
          <w:rStyle w:val="element-citation"/>
          <w:rFonts w:ascii="Times New Roman" w:hAnsi="Times New Roman" w:cs="Times New Roman"/>
          <w:color w:val="auto"/>
          <w:sz w:val="28"/>
          <w:szCs w:val="28"/>
        </w:rPr>
        <w:t>:123</w:t>
      </w:r>
      <w:proofErr w:type="gramEnd"/>
      <w:r w:rsidRPr="000C05D1">
        <w:rPr>
          <w:rStyle w:val="element-citation"/>
          <w:rFonts w:ascii="Times New Roman" w:hAnsi="Times New Roman" w:cs="Times New Roman"/>
          <w:color w:val="auto"/>
          <w:sz w:val="28"/>
          <w:szCs w:val="28"/>
        </w:rPr>
        <w:t>–130. </w:t>
      </w:r>
      <w:r w:rsidRPr="000C05D1">
        <w:rPr>
          <w:rStyle w:val="nowraprefpmc"/>
          <w:rFonts w:ascii="Times New Roman" w:hAnsi="Times New Roman" w:cs="Times New Roman"/>
          <w:color w:val="auto"/>
          <w:sz w:val="28"/>
          <w:szCs w:val="28"/>
        </w:rPr>
        <w:t>[</w:t>
      </w:r>
      <w:hyperlink r:id="rId472"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73"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25. </w:t>
      </w:r>
      <w:r w:rsidRPr="000C05D1">
        <w:rPr>
          <w:rStyle w:val="element-citation"/>
          <w:rFonts w:ascii="Times New Roman" w:hAnsi="Times New Roman" w:cs="Times New Roman"/>
          <w:color w:val="auto"/>
          <w:sz w:val="28"/>
          <w:szCs w:val="28"/>
        </w:rPr>
        <w:t>Tchounwou PB, Centeno JA, Patlolla AK. Arsenic toxicity, mutagenesis and carcinogenesis - a health risk assessment and management approach. </w:t>
      </w:r>
      <w:proofErr w:type="gramStart"/>
      <w:r w:rsidRPr="000C05D1">
        <w:rPr>
          <w:rStyle w:val="ref-journal"/>
          <w:rFonts w:ascii="Times New Roman" w:hAnsi="Times New Roman" w:cs="Times New Roman"/>
          <w:color w:val="auto"/>
          <w:sz w:val="28"/>
          <w:szCs w:val="28"/>
        </w:rPr>
        <w:t>Mol Cell Biochem.</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2004</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255</w:t>
      </w:r>
      <w:r w:rsidRPr="000C05D1">
        <w:rPr>
          <w:rStyle w:val="element-citation"/>
          <w:rFonts w:ascii="Times New Roman" w:hAnsi="Times New Roman" w:cs="Times New Roman"/>
          <w:color w:val="auto"/>
          <w:sz w:val="28"/>
          <w:szCs w:val="28"/>
        </w:rPr>
        <w:t>:47</w:t>
      </w:r>
      <w:proofErr w:type="gramEnd"/>
      <w:r w:rsidRPr="000C05D1">
        <w:rPr>
          <w:rStyle w:val="element-citation"/>
          <w:rFonts w:ascii="Times New Roman" w:hAnsi="Times New Roman" w:cs="Times New Roman"/>
          <w:color w:val="auto"/>
          <w:sz w:val="28"/>
          <w:szCs w:val="28"/>
        </w:rPr>
        <w:t>–55. </w:t>
      </w:r>
      <w:r w:rsidRPr="000C05D1">
        <w:rPr>
          <w:rStyle w:val="nowraprefpubmed"/>
          <w:rFonts w:ascii="Times New Roman" w:hAnsi="Times New Roman" w:cs="Times New Roman"/>
          <w:color w:val="auto"/>
          <w:sz w:val="28"/>
          <w:szCs w:val="28"/>
        </w:rPr>
        <w:t>[</w:t>
      </w:r>
      <w:hyperlink r:id="rId474"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26. </w:t>
      </w:r>
      <w:r w:rsidRPr="000C05D1">
        <w:rPr>
          <w:rStyle w:val="element-citation"/>
          <w:rFonts w:ascii="Times New Roman" w:hAnsi="Times New Roman" w:cs="Times New Roman"/>
          <w:color w:val="auto"/>
          <w:sz w:val="28"/>
          <w:szCs w:val="28"/>
        </w:rPr>
        <w:t>Tchounwou PB, Ishaque A, Schneider J. Cytotoxicity and transcriptional activation of stress genes in human liver carcinoma cells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exposed to cadmium chloride. </w:t>
      </w:r>
      <w:proofErr w:type="gramStart"/>
      <w:r w:rsidRPr="000C05D1">
        <w:rPr>
          <w:rStyle w:val="ref-journal"/>
          <w:rFonts w:ascii="Times New Roman" w:hAnsi="Times New Roman" w:cs="Times New Roman"/>
          <w:color w:val="auto"/>
          <w:sz w:val="28"/>
          <w:szCs w:val="28"/>
        </w:rPr>
        <w:t>Mol Cell Biochem.</w:t>
      </w:r>
      <w:proofErr w:type="gramEnd"/>
      <w:r w:rsidRPr="000C05D1">
        <w:rPr>
          <w:rStyle w:val="ref-journal"/>
          <w:rFonts w:ascii="Times New Roman" w:hAnsi="Times New Roman" w:cs="Times New Roman"/>
          <w:color w:val="auto"/>
          <w:sz w:val="28"/>
          <w:szCs w:val="28"/>
        </w:rPr>
        <w:t> </w:t>
      </w:r>
      <w:r w:rsidRPr="000C05D1">
        <w:rPr>
          <w:rStyle w:val="element-citation"/>
          <w:rFonts w:ascii="Times New Roman" w:hAnsi="Times New Roman" w:cs="Times New Roman"/>
          <w:color w:val="auto"/>
          <w:sz w:val="28"/>
          <w:szCs w:val="28"/>
        </w:rPr>
        <w:t>2001</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222</w:t>
      </w:r>
      <w:r w:rsidRPr="000C05D1">
        <w:rPr>
          <w:rStyle w:val="element-citation"/>
          <w:rFonts w:ascii="Times New Roman" w:hAnsi="Times New Roman" w:cs="Times New Roman"/>
          <w:color w:val="auto"/>
          <w:sz w:val="28"/>
          <w:szCs w:val="28"/>
        </w:rPr>
        <w:t>:21</w:t>
      </w:r>
      <w:proofErr w:type="gramEnd"/>
      <w:r w:rsidRPr="000C05D1">
        <w:rPr>
          <w:rStyle w:val="element-citation"/>
          <w:rFonts w:ascii="Times New Roman" w:hAnsi="Times New Roman" w:cs="Times New Roman"/>
          <w:color w:val="auto"/>
          <w:sz w:val="28"/>
          <w:szCs w:val="28"/>
        </w:rPr>
        <w:t>–28.</w:t>
      </w:r>
      <w:r w:rsidRPr="000C05D1">
        <w:rPr>
          <w:rStyle w:val="nowraprefpubmed"/>
          <w:rFonts w:ascii="Times New Roman" w:hAnsi="Times New Roman" w:cs="Times New Roman"/>
          <w:color w:val="auto"/>
          <w:sz w:val="28"/>
          <w:szCs w:val="28"/>
        </w:rPr>
        <w:t>[</w:t>
      </w:r>
      <w:hyperlink r:id="rId475"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27. </w:t>
      </w:r>
      <w:r w:rsidRPr="000C05D1">
        <w:rPr>
          <w:rStyle w:val="element-citation"/>
          <w:rFonts w:ascii="Times New Roman" w:hAnsi="Times New Roman" w:cs="Times New Roman"/>
          <w:color w:val="auto"/>
          <w:sz w:val="28"/>
          <w:szCs w:val="28"/>
        </w:rPr>
        <w:t xml:space="preserve">Patlolla A, Barnes C, Field J, Hackett D, Tchounwou PB. </w:t>
      </w:r>
      <w:proofErr w:type="gramStart"/>
      <w:r w:rsidRPr="000C05D1">
        <w:rPr>
          <w:rStyle w:val="element-citation"/>
          <w:rFonts w:ascii="Times New Roman" w:hAnsi="Times New Roman" w:cs="Times New Roman"/>
          <w:color w:val="auto"/>
          <w:sz w:val="28"/>
          <w:szCs w:val="28"/>
        </w:rPr>
        <w:t>Potassium dichromate-induced cytotoxicity, genotoxicity and oxidative stress in human liver carcinoma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cells.</w:t>
      </w:r>
      <w:proofErr w:type="gramEnd"/>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Int J Environ Res Public Health. </w:t>
      </w:r>
      <w:r w:rsidRPr="000C05D1">
        <w:rPr>
          <w:rStyle w:val="element-citation"/>
          <w:rFonts w:ascii="Times New Roman" w:hAnsi="Times New Roman" w:cs="Times New Roman"/>
          <w:color w:val="auto"/>
          <w:sz w:val="28"/>
          <w:szCs w:val="28"/>
        </w:rPr>
        <w:t>2009</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6</w:t>
      </w:r>
      <w:r w:rsidRPr="000C05D1">
        <w:rPr>
          <w:rStyle w:val="element-citation"/>
          <w:rFonts w:ascii="Times New Roman" w:hAnsi="Times New Roman" w:cs="Times New Roman"/>
          <w:color w:val="auto"/>
          <w:sz w:val="28"/>
          <w:szCs w:val="28"/>
        </w:rPr>
        <w:t>:643</w:t>
      </w:r>
      <w:proofErr w:type="gramEnd"/>
      <w:r w:rsidRPr="000C05D1">
        <w:rPr>
          <w:rStyle w:val="element-citation"/>
          <w:rFonts w:ascii="Times New Roman" w:hAnsi="Times New Roman" w:cs="Times New Roman"/>
          <w:color w:val="auto"/>
          <w:sz w:val="28"/>
          <w:szCs w:val="28"/>
        </w:rPr>
        <w:t>–653. </w:t>
      </w:r>
      <w:r w:rsidRPr="000C05D1">
        <w:rPr>
          <w:rStyle w:val="nowraprefpmc"/>
          <w:rFonts w:ascii="Times New Roman" w:hAnsi="Times New Roman" w:cs="Times New Roman"/>
          <w:color w:val="auto"/>
          <w:sz w:val="28"/>
          <w:szCs w:val="28"/>
        </w:rPr>
        <w:t>[</w:t>
      </w:r>
      <w:hyperlink r:id="rId476"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77"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28. </w:t>
      </w:r>
      <w:r w:rsidRPr="000C05D1">
        <w:rPr>
          <w:rStyle w:val="element-citation"/>
          <w:rFonts w:ascii="Times New Roman" w:hAnsi="Times New Roman" w:cs="Times New Roman"/>
          <w:color w:val="auto"/>
          <w:sz w:val="28"/>
          <w:szCs w:val="28"/>
        </w:rPr>
        <w:t>Patlolla A, Barnes C, Yedjou C, Velma V, Tchounwou PB. Oxidative stress, DNA damage and antioxidant enzyme activity induced by hexavalent chromium in Sprague Dawley rats. </w:t>
      </w:r>
      <w:r w:rsidRPr="000C05D1">
        <w:rPr>
          <w:rStyle w:val="ref-journal"/>
          <w:rFonts w:ascii="Times New Roman" w:hAnsi="Times New Roman" w:cs="Times New Roman"/>
          <w:color w:val="auto"/>
          <w:sz w:val="28"/>
          <w:szCs w:val="28"/>
        </w:rPr>
        <w:t>Environ Toxicol. </w:t>
      </w:r>
      <w:r w:rsidRPr="000C05D1">
        <w:rPr>
          <w:rStyle w:val="element-citation"/>
          <w:rFonts w:ascii="Times New Roman" w:hAnsi="Times New Roman" w:cs="Times New Roman"/>
          <w:color w:val="auto"/>
          <w:sz w:val="28"/>
          <w:szCs w:val="28"/>
        </w:rPr>
        <w:t>2009</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24</w:t>
      </w:r>
      <w:proofErr w:type="gramEnd"/>
      <w:r w:rsidRPr="000C05D1">
        <w:rPr>
          <w:rStyle w:val="element-citation"/>
          <w:rFonts w:ascii="Times New Roman" w:hAnsi="Times New Roman" w:cs="Times New Roman"/>
          <w:color w:val="auto"/>
          <w:sz w:val="28"/>
          <w:szCs w:val="28"/>
        </w:rPr>
        <w:t>(1):66–73. </w:t>
      </w:r>
      <w:r w:rsidRPr="000C05D1">
        <w:rPr>
          <w:rStyle w:val="nowraprefpmc"/>
          <w:rFonts w:ascii="Times New Roman" w:hAnsi="Times New Roman" w:cs="Times New Roman"/>
          <w:color w:val="auto"/>
          <w:sz w:val="28"/>
          <w:szCs w:val="28"/>
        </w:rPr>
        <w:t>[</w:t>
      </w:r>
      <w:hyperlink r:id="rId478"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79"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29. </w:t>
      </w:r>
      <w:r w:rsidRPr="000C05D1">
        <w:rPr>
          <w:rStyle w:val="element-citation"/>
          <w:rFonts w:ascii="Times New Roman" w:hAnsi="Times New Roman" w:cs="Times New Roman"/>
          <w:color w:val="auto"/>
          <w:sz w:val="28"/>
          <w:szCs w:val="28"/>
        </w:rPr>
        <w:t>Yedjou GC, Tchounwou PB. N-acetyl-cysteine affords protection against lead-induced cytotoxicity and oxidative stress in human liver carcinoma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cells. </w:t>
      </w:r>
      <w:r w:rsidRPr="000C05D1">
        <w:rPr>
          <w:rStyle w:val="ref-journal"/>
          <w:rFonts w:ascii="Times New Roman" w:hAnsi="Times New Roman" w:cs="Times New Roman"/>
          <w:color w:val="auto"/>
          <w:sz w:val="28"/>
          <w:szCs w:val="28"/>
        </w:rPr>
        <w:t>Intl J Environ Res Public Health. </w:t>
      </w:r>
      <w:r w:rsidRPr="000C05D1">
        <w:rPr>
          <w:rStyle w:val="element-citation"/>
          <w:rFonts w:ascii="Times New Roman" w:hAnsi="Times New Roman" w:cs="Times New Roman"/>
          <w:color w:val="auto"/>
          <w:sz w:val="28"/>
          <w:szCs w:val="28"/>
        </w:rPr>
        <w:t>2008</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4</w:t>
      </w:r>
      <w:proofErr w:type="gramEnd"/>
      <w:r w:rsidRPr="000C05D1">
        <w:rPr>
          <w:rStyle w:val="element-citation"/>
          <w:rFonts w:ascii="Times New Roman" w:hAnsi="Times New Roman" w:cs="Times New Roman"/>
          <w:color w:val="auto"/>
          <w:sz w:val="28"/>
          <w:szCs w:val="28"/>
        </w:rPr>
        <w:t>(2):132–137. </w:t>
      </w:r>
      <w:r w:rsidRPr="000C05D1">
        <w:rPr>
          <w:rStyle w:val="nowraprefpmc"/>
          <w:rFonts w:ascii="Times New Roman" w:hAnsi="Times New Roman" w:cs="Times New Roman"/>
          <w:color w:val="auto"/>
          <w:sz w:val="28"/>
          <w:szCs w:val="28"/>
        </w:rPr>
        <w:t>[</w:t>
      </w:r>
      <w:hyperlink r:id="rId480"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81"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30. </w:t>
      </w:r>
      <w:r w:rsidRPr="000C05D1">
        <w:rPr>
          <w:rStyle w:val="element-citation"/>
          <w:rFonts w:ascii="Times New Roman" w:hAnsi="Times New Roman" w:cs="Times New Roman"/>
          <w:color w:val="auto"/>
          <w:sz w:val="28"/>
          <w:szCs w:val="28"/>
        </w:rPr>
        <w:t>Tchounwou PB, Yedjou CG, Foxx D, Ishaque A, Shen E. Lead-induced cytotoxicity and transcriptional activation of stress genes in human liver carcinoma cells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w:t>
      </w:r>
      <w:r w:rsidRPr="000C05D1">
        <w:rPr>
          <w:rStyle w:val="ref-journal"/>
          <w:rFonts w:ascii="Times New Roman" w:hAnsi="Times New Roman" w:cs="Times New Roman"/>
          <w:color w:val="auto"/>
          <w:sz w:val="28"/>
          <w:szCs w:val="28"/>
        </w:rPr>
        <w:t>Mol Cell Biochem. </w:t>
      </w:r>
      <w:r w:rsidRPr="000C05D1">
        <w:rPr>
          <w:rStyle w:val="element-citation"/>
          <w:rFonts w:ascii="Times New Roman" w:hAnsi="Times New Roman" w:cs="Times New Roman"/>
          <w:color w:val="auto"/>
          <w:sz w:val="28"/>
          <w:szCs w:val="28"/>
        </w:rPr>
        <w:t>2004</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255</w:t>
      </w:r>
      <w:r w:rsidRPr="000C05D1">
        <w:rPr>
          <w:rStyle w:val="element-citation"/>
          <w:rFonts w:ascii="Times New Roman" w:hAnsi="Times New Roman" w:cs="Times New Roman"/>
          <w:color w:val="auto"/>
          <w:sz w:val="28"/>
          <w:szCs w:val="28"/>
        </w:rPr>
        <w:t>:161</w:t>
      </w:r>
      <w:proofErr w:type="gramEnd"/>
      <w:r w:rsidRPr="000C05D1">
        <w:rPr>
          <w:rStyle w:val="element-citation"/>
          <w:rFonts w:ascii="Times New Roman" w:hAnsi="Times New Roman" w:cs="Times New Roman"/>
          <w:color w:val="auto"/>
          <w:sz w:val="28"/>
          <w:szCs w:val="28"/>
        </w:rPr>
        <w:t>–170.</w:t>
      </w:r>
      <w:r w:rsidRPr="000C05D1">
        <w:rPr>
          <w:rStyle w:val="nowraprefpubmed"/>
          <w:rFonts w:ascii="Times New Roman" w:hAnsi="Times New Roman" w:cs="Times New Roman"/>
          <w:color w:val="auto"/>
          <w:sz w:val="28"/>
          <w:szCs w:val="28"/>
        </w:rPr>
        <w:t>[</w:t>
      </w:r>
      <w:hyperlink r:id="rId482"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Default="000C05D1" w:rsidP="000C05D1">
      <w:pPr>
        <w:shd w:val="clear" w:color="auto" w:fill="FFFFFF"/>
        <w:ind w:left="360" w:hanging="360"/>
        <w:jc w:val="both"/>
        <w:rPr>
          <w:rStyle w:val="nowraprefpubmed"/>
          <w:rFonts w:ascii="Times New Roman" w:hAnsi="Times New Roman" w:cs="Times New Roman"/>
          <w:color w:val="auto"/>
          <w:sz w:val="28"/>
          <w:szCs w:val="28"/>
        </w:rPr>
      </w:pPr>
      <w:r w:rsidRPr="000C05D1">
        <w:rPr>
          <w:rFonts w:ascii="Times New Roman" w:hAnsi="Times New Roman" w:cs="Times New Roman"/>
          <w:color w:val="auto"/>
          <w:sz w:val="28"/>
          <w:szCs w:val="28"/>
        </w:rPr>
        <w:t>31. </w:t>
      </w:r>
      <w:r w:rsidRPr="000C05D1">
        <w:rPr>
          <w:rStyle w:val="element-citation"/>
          <w:rFonts w:ascii="Times New Roman" w:hAnsi="Times New Roman" w:cs="Times New Roman"/>
          <w:color w:val="auto"/>
          <w:sz w:val="28"/>
          <w:szCs w:val="28"/>
        </w:rPr>
        <w:t>Sutton DJ, Tchounwou PB. Mercury induces the externalization of phosphatidylserine in human proximal tubule (HK-2) cells. </w:t>
      </w:r>
      <w:r w:rsidRPr="000C05D1">
        <w:rPr>
          <w:rStyle w:val="ref-journal"/>
          <w:rFonts w:ascii="Times New Roman" w:hAnsi="Times New Roman" w:cs="Times New Roman"/>
          <w:color w:val="auto"/>
          <w:sz w:val="28"/>
          <w:szCs w:val="28"/>
        </w:rPr>
        <w:t>Intl J Environ Res Public Health. </w:t>
      </w:r>
      <w:r w:rsidRPr="000C05D1">
        <w:rPr>
          <w:rStyle w:val="element-citation"/>
          <w:rFonts w:ascii="Times New Roman" w:hAnsi="Times New Roman" w:cs="Times New Roman"/>
          <w:color w:val="auto"/>
          <w:sz w:val="28"/>
          <w:szCs w:val="28"/>
        </w:rPr>
        <w:t>2007</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4</w:t>
      </w:r>
      <w:proofErr w:type="gramEnd"/>
      <w:r w:rsidRPr="000C05D1">
        <w:rPr>
          <w:rStyle w:val="element-citation"/>
          <w:rFonts w:ascii="Times New Roman" w:hAnsi="Times New Roman" w:cs="Times New Roman"/>
          <w:color w:val="auto"/>
          <w:sz w:val="28"/>
          <w:szCs w:val="28"/>
        </w:rPr>
        <w:t>(2):138–144. </w:t>
      </w:r>
      <w:r w:rsidRPr="000C05D1">
        <w:rPr>
          <w:rStyle w:val="nowraprefpmc"/>
          <w:rFonts w:ascii="Times New Roman" w:hAnsi="Times New Roman" w:cs="Times New Roman"/>
          <w:color w:val="auto"/>
          <w:sz w:val="28"/>
          <w:szCs w:val="28"/>
        </w:rPr>
        <w:t>[</w:t>
      </w:r>
      <w:hyperlink r:id="rId483"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nowraprefpubmed"/>
          <w:rFonts w:ascii="Times New Roman" w:hAnsi="Times New Roman" w:cs="Times New Roman"/>
          <w:color w:val="auto"/>
          <w:sz w:val="28"/>
          <w:szCs w:val="28"/>
        </w:rPr>
        <w:t>[</w:t>
      </w:r>
      <w:hyperlink r:id="rId484"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864C74" w:rsidRPr="000C05D1" w:rsidRDefault="00864C74" w:rsidP="000C05D1">
      <w:pPr>
        <w:shd w:val="clear" w:color="auto" w:fill="FFFFFF"/>
        <w:ind w:left="360" w:hanging="360"/>
        <w:jc w:val="both"/>
        <w:rPr>
          <w:rFonts w:ascii="Times New Roman" w:hAnsi="Times New Roman" w:cs="Times New Roman"/>
          <w:color w:val="auto"/>
          <w:sz w:val="28"/>
          <w:szCs w:val="28"/>
        </w:rPr>
      </w:pP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lastRenderedPageBreak/>
        <w:t>32. </w:t>
      </w:r>
      <w:r w:rsidRPr="000C05D1">
        <w:rPr>
          <w:rStyle w:val="element-citation"/>
          <w:rFonts w:ascii="Times New Roman" w:hAnsi="Times New Roman" w:cs="Times New Roman"/>
          <w:color w:val="auto"/>
          <w:sz w:val="28"/>
          <w:szCs w:val="28"/>
        </w:rPr>
        <w:t>Sutton D, Tchounwou PB, Ninashvili N, Shen E. Mercury induces cytotoxicity, and transcriptionally activates stress genes in human liver carcinoma cells. </w:t>
      </w:r>
      <w:r w:rsidRPr="000C05D1">
        <w:rPr>
          <w:rStyle w:val="ref-journal"/>
          <w:rFonts w:ascii="Times New Roman" w:hAnsi="Times New Roman" w:cs="Times New Roman"/>
          <w:color w:val="auto"/>
          <w:sz w:val="28"/>
          <w:szCs w:val="28"/>
        </w:rPr>
        <w:t>Intl J Mol Sci. </w:t>
      </w:r>
      <w:r w:rsidRPr="000C05D1">
        <w:rPr>
          <w:rStyle w:val="element-citation"/>
          <w:rFonts w:ascii="Times New Roman" w:hAnsi="Times New Roman" w:cs="Times New Roman"/>
          <w:color w:val="auto"/>
          <w:sz w:val="28"/>
          <w:szCs w:val="28"/>
        </w:rPr>
        <w:t>2002</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w:t>
      </w:r>
      <w:proofErr w:type="gramEnd"/>
      <w:r w:rsidRPr="000C05D1">
        <w:rPr>
          <w:rStyle w:val="element-citation"/>
          <w:rFonts w:ascii="Times New Roman" w:hAnsi="Times New Roman" w:cs="Times New Roman"/>
          <w:color w:val="auto"/>
          <w:sz w:val="28"/>
          <w:szCs w:val="28"/>
        </w:rPr>
        <w:t>(9):965–984.</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33. </w:t>
      </w:r>
      <w:r w:rsidRPr="000C05D1">
        <w:rPr>
          <w:rStyle w:val="element-citation"/>
          <w:rFonts w:ascii="Times New Roman" w:hAnsi="Times New Roman" w:cs="Times New Roman"/>
          <w:color w:val="auto"/>
          <w:sz w:val="28"/>
          <w:szCs w:val="28"/>
        </w:rPr>
        <w:t>Agency for Toxic Substances and Disease Registry (ATSDR) </w:t>
      </w:r>
      <w:r w:rsidRPr="000C05D1">
        <w:rPr>
          <w:rStyle w:val="ref-journal"/>
          <w:rFonts w:ascii="Times New Roman" w:hAnsi="Times New Roman" w:cs="Times New Roman"/>
          <w:color w:val="auto"/>
          <w:sz w:val="28"/>
          <w:szCs w:val="28"/>
        </w:rPr>
        <w:t>Toxicological Profile for Arsenic TP-92/09.</w:t>
      </w:r>
      <w:r w:rsidRPr="000C05D1">
        <w:rPr>
          <w:rStyle w:val="element-citation"/>
          <w:rFonts w:ascii="Times New Roman" w:hAnsi="Times New Roman" w:cs="Times New Roman"/>
          <w:color w:val="auto"/>
          <w:sz w:val="28"/>
          <w:szCs w:val="28"/>
        </w:rPr>
        <w:t> </w:t>
      </w:r>
      <w:smartTag w:uri="urn:schemas-microsoft-com:office:smarttags" w:element="country-region">
        <w:r w:rsidRPr="000C05D1">
          <w:rPr>
            <w:rStyle w:val="element-citation"/>
            <w:rFonts w:ascii="Times New Roman" w:hAnsi="Times New Roman" w:cs="Times New Roman"/>
            <w:color w:val="auto"/>
            <w:sz w:val="28"/>
            <w:szCs w:val="28"/>
          </w:rPr>
          <w:t>Georgia</w:t>
        </w:r>
      </w:smartTag>
      <w:r w:rsidRPr="000C05D1">
        <w:rPr>
          <w:rStyle w:val="element-citation"/>
          <w:rFonts w:ascii="Times New Roman" w:hAnsi="Times New Roman" w:cs="Times New Roman"/>
          <w:color w:val="auto"/>
          <w:sz w:val="28"/>
          <w:szCs w:val="28"/>
        </w:rPr>
        <w:t xml:space="preserve">: Center for Disease Control, </w:t>
      </w:r>
      <w:smartTag w:uri="urn:schemas-microsoft-com:office:smarttags" w:element="City">
        <w:smartTag w:uri="urn:schemas-microsoft-com:office:smarttags" w:element="place">
          <w:r w:rsidRPr="000C05D1">
            <w:rPr>
              <w:rStyle w:val="element-citation"/>
              <w:rFonts w:ascii="Times New Roman" w:hAnsi="Times New Roman" w:cs="Times New Roman"/>
              <w:color w:val="auto"/>
              <w:sz w:val="28"/>
              <w:szCs w:val="28"/>
            </w:rPr>
            <w:t>Atlanta</w:t>
          </w:r>
        </w:smartTag>
      </w:smartTag>
      <w:r w:rsidRPr="000C05D1">
        <w:rPr>
          <w:rStyle w:val="element-citation"/>
          <w:rFonts w:ascii="Times New Roman" w:hAnsi="Times New Roman" w:cs="Times New Roman"/>
          <w:color w:val="auto"/>
          <w:sz w:val="28"/>
          <w:szCs w:val="28"/>
        </w:rPr>
        <w:t>; 2000.</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34. </w:t>
      </w:r>
      <w:r w:rsidRPr="000C05D1">
        <w:rPr>
          <w:rStyle w:val="element-citation"/>
          <w:rFonts w:ascii="Times New Roman" w:hAnsi="Times New Roman" w:cs="Times New Roman"/>
          <w:color w:val="auto"/>
          <w:sz w:val="28"/>
          <w:szCs w:val="28"/>
        </w:rPr>
        <w:t>Tchounwou PB, Wilson B, Ishaque A. Important considerations in the development of public health advisories for arsenic and arsenic-containing compounds in drinking water. </w:t>
      </w:r>
      <w:r w:rsidRPr="000C05D1">
        <w:rPr>
          <w:rStyle w:val="ref-journal"/>
          <w:rFonts w:ascii="Times New Roman" w:hAnsi="Times New Roman" w:cs="Times New Roman"/>
          <w:color w:val="auto"/>
          <w:sz w:val="28"/>
          <w:szCs w:val="28"/>
        </w:rPr>
        <w:t>Rev Environ Health. </w:t>
      </w:r>
      <w:r w:rsidRPr="000C05D1">
        <w:rPr>
          <w:rStyle w:val="element-citation"/>
          <w:rFonts w:ascii="Times New Roman" w:hAnsi="Times New Roman" w:cs="Times New Roman"/>
          <w:color w:val="auto"/>
          <w:sz w:val="28"/>
          <w:szCs w:val="28"/>
        </w:rPr>
        <w:t>1999</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14</w:t>
      </w:r>
      <w:proofErr w:type="gramEnd"/>
      <w:r w:rsidRPr="000C05D1">
        <w:rPr>
          <w:rStyle w:val="element-citation"/>
          <w:rFonts w:ascii="Times New Roman" w:hAnsi="Times New Roman" w:cs="Times New Roman"/>
          <w:color w:val="auto"/>
          <w:sz w:val="28"/>
          <w:szCs w:val="28"/>
        </w:rPr>
        <w:t>(4):211–229. </w:t>
      </w:r>
      <w:r w:rsidRPr="000C05D1">
        <w:rPr>
          <w:rStyle w:val="nowraprefpubmed"/>
          <w:rFonts w:ascii="Times New Roman" w:hAnsi="Times New Roman" w:cs="Times New Roman"/>
          <w:color w:val="auto"/>
          <w:sz w:val="28"/>
          <w:szCs w:val="28"/>
        </w:rPr>
        <w:t>[</w:t>
      </w:r>
      <w:hyperlink r:id="rId485"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35. </w:t>
      </w:r>
      <w:r w:rsidRPr="000C05D1">
        <w:rPr>
          <w:rStyle w:val="element-citation"/>
          <w:rFonts w:ascii="Times New Roman" w:hAnsi="Times New Roman" w:cs="Times New Roman"/>
          <w:color w:val="auto"/>
          <w:sz w:val="28"/>
          <w:szCs w:val="28"/>
        </w:rPr>
        <w:t>Centeno JA, Tchounwou PB, Patlolla AK, Mullick FG, Murakat L, Meza E, Gibb H, Longfellow D, Yedjou CG. Environmental pathology and health effects of arsenic poisoning: a critical review. In: Naidu R, Smith E, Smith J, Bhattacharya P, editors. </w:t>
      </w:r>
      <w:r w:rsidRPr="000C05D1">
        <w:rPr>
          <w:rStyle w:val="ref-journal"/>
          <w:rFonts w:ascii="Times New Roman" w:hAnsi="Times New Roman" w:cs="Times New Roman"/>
          <w:color w:val="auto"/>
          <w:sz w:val="28"/>
          <w:szCs w:val="28"/>
        </w:rPr>
        <w:t>Managing Arsenic In the Environment: From Soil to Human Health.</w:t>
      </w:r>
      <w:r w:rsidRPr="000C05D1">
        <w:rPr>
          <w:rStyle w:val="element-citation"/>
          <w:rFonts w:ascii="Times New Roman" w:hAnsi="Times New Roman" w:cs="Times New Roman"/>
          <w:color w:val="auto"/>
          <w:sz w:val="28"/>
          <w:szCs w:val="28"/>
        </w:rPr>
        <w:t>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Adelaide</w:t>
          </w:r>
        </w:smartTag>
        <w:r w:rsidRPr="000C05D1">
          <w:rPr>
            <w:rStyle w:val="element-citation"/>
            <w:rFonts w:ascii="Times New Roman" w:hAnsi="Times New Roman" w:cs="Times New Roman"/>
            <w:color w:val="auto"/>
            <w:sz w:val="28"/>
            <w:szCs w:val="28"/>
          </w:rPr>
          <w:t xml:space="preserve">, </w:t>
        </w:r>
        <w:smartTag w:uri="urn:schemas-microsoft-com:office:smarttags" w:element="country-region">
          <w:r w:rsidRPr="000C05D1">
            <w:rPr>
              <w:rStyle w:val="element-citation"/>
              <w:rFonts w:ascii="Times New Roman" w:hAnsi="Times New Roman" w:cs="Times New Roman"/>
              <w:color w:val="auto"/>
              <w:sz w:val="28"/>
              <w:szCs w:val="28"/>
            </w:rPr>
            <w:t>Australia</w:t>
          </w:r>
        </w:smartTag>
      </w:smartTag>
      <w:r w:rsidRPr="000C05D1">
        <w:rPr>
          <w:rStyle w:val="element-citation"/>
          <w:rFonts w:ascii="Times New Roman" w:hAnsi="Times New Roman" w:cs="Times New Roman"/>
          <w:color w:val="auto"/>
          <w:sz w:val="28"/>
          <w:szCs w:val="28"/>
        </w:rPr>
        <w:t>: CSIRO Publishing Corp.; 2005.</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36. </w:t>
      </w:r>
      <w:r w:rsidRPr="000C05D1">
        <w:rPr>
          <w:rStyle w:val="element-citation"/>
          <w:rFonts w:ascii="Times New Roman" w:hAnsi="Times New Roman" w:cs="Times New Roman"/>
          <w:color w:val="auto"/>
          <w:sz w:val="28"/>
          <w:szCs w:val="28"/>
        </w:rPr>
        <w:t>Rousselot P, Laboume S, Marolleau JP, Larghero T, Noguera ML, Brouet JC, Fermand JP. Arsenic trioxide and melarsoprol induce apoptosis in plasma cell lines and in plasma cells from myeloma patients. </w:t>
      </w:r>
      <w:r w:rsidRPr="000C05D1">
        <w:rPr>
          <w:rStyle w:val="ref-journal"/>
          <w:rFonts w:ascii="Times New Roman" w:hAnsi="Times New Roman" w:cs="Times New Roman"/>
          <w:color w:val="auto"/>
          <w:sz w:val="28"/>
          <w:szCs w:val="28"/>
        </w:rPr>
        <w:t>Cancer Res. </w:t>
      </w:r>
      <w:r w:rsidRPr="000C05D1">
        <w:rPr>
          <w:rStyle w:val="element-citation"/>
          <w:rFonts w:ascii="Times New Roman" w:hAnsi="Times New Roman" w:cs="Times New Roman"/>
          <w:color w:val="auto"/>
          <w:sz w:val="28"/>
          <w:szCs w:val="28"/>
        </w:rPr>
        <w:t>1999</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59</w:t>
      </w:r>
      <w:r w:rsidRPr="000C05D1">
        <w:rPr>
          <w:rStyle w:val="element-citation"/>
          <w:rFonts w:ascii="Times New Roman" w:hAnsi="Times New Roman" w:cs="Times New Roman"/>
          <w:color w:val="auto"/>
          <w:sz w:val="28"/>
          <w:szCs w:val="28"/>
        </w:rPr>
        <w:t>:1041</w:t>
      </w:r>
      <w:proofErr w:type="gramEnd"/>
      <w:r w:rsidRPr="000C05D1">
        <w:rPr>
          <w:rStyle w:val="element-citation"/>
          <w:rFonts w:ascii="Times New Roman" w:hAnsi="Times New Roman" w:cs="Times New Roman"/>
          <w:color w:val="auto"/>
          <w:sz w:val="28"/>
          <w:szCs w:val="28"/>
        </w:rPr>
        <w:t>–1048. </w:t>
      </w:r>
      <w:r w:rsidRPr="000C05D1">
        <w:rPr>
          <w:rStyle w:val="nowraprefpubmed"/>
          <w:rFonts w:ascii="Times New Roman" w:hAnsi="Times New Roman" w:cs="Times New Roman"/>
          <w:color w:val="auto"/>
          <w:sz w:val="28"/>
          <w:szCs w:val="28"/>
        </w:rPr>
        <w:t>[</w:t>
      </w:r>
      <w:hyperlink r:id="rId486"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37. </w:t>
      </w:r>
      <w:r w:rsidRPr="000C05D1">
        <w:rPr>
          <w:rStyle w:val="element-citation"/>
          <w:rFonts w:ascii="Times New Roman" w:hAnsi="Times New Roman" w:cs="Times New Roman"/>
          <w:color w:val="auto"/>
          <w:sz w:val="28"/>
          <w:szCs w:val="28"/>
        </w:rPr>
        <w:t xml:space="preserve">National Research Council </w:t>
      </w:r>
      <w:smartTag w:uri="urn:schemas-microsoft-com:office:smarttags" w:element="country-region">
        <w:smartTag w:uri="urn:schemas-microsoft-com:office:smarttags" w:element="place">
          <w:r w:rsidRPr="000C05D1">
            <w:rPr>
              <w:rStyle w:val="element-citation"/>
              <w:rFonts w:ascii="Times New Roman" w:hAnsi="Times New Roman" w:cs="Times New Roman"/>
              <w:color w:val="auto"/>
              <w:sz w:val="28"/>
              <w:szCs w:val="28"/>
            </w:rPr>
            <w:t>Canada</w:t>
          </w:r>
        </w:smartTag>
      </w:smartTag>
      <w:r w:rsidRPr="000C05D1">
        <w:rPr>
          <w:rStyle w:val="element-citation"/>
          <w:rFonts w:ascii="Times New Roman" w:hAnsi="Times New Roman" w:cs="Times New Roman"/>
          <w:color w:val="auto"/>
          <w:sz w:val="28"/>
          <w:szCs w:val="28"/>
        </w:rPr>
        <w:t xml:space="preserve"> (NRCC) </w:t>
      </w:r>
      <w:r w:rsidRPr="000C05D1">
        <w:rPr>
          <w:rStyle w:val="ref-journal"/>
          <w:rFonts w:ascii="Times New Roman" w:hAnsi="Times New Roman" w:cs="Times New Roman"/>
          <w:color w:val="auto"/>
          <w:sz w:val="28"/>
          <w:szCs w:val="28"/>
        </w:rPr>
        <w:t>Effects of Arsenic in the Environment.</w:t>
      </w:r>
      <w:r w:rsidRPr="000C05D1">
        <w:rPr>
          <w:rStyle w:val="element-citation"/>
          <w:rFonts w:ascii="Times New Roman" w:hAnsi="Times New Roman" w:cs="Times New Roman"/>
          <w:color w:val="auto"/>
          <w:sz w:val="28"/>
          <w:szCs w:val="28"/>
        </w:rPr>
        <w:t> </w:t>
      </w:r>
      <w:proofErr w:type="gramStart"/>
      <w:r w:rsidRPr="000C05D1">
        <w:rPr>
          <w:rStyle w:val="element-citation"/>
          <w:rFonts w:ascii="Times New Roman" w:hAnsi="Times New Roman" w:cs="Times New Roman"/>
          <w:color w:val="auto"/>
          <w:sz w:val="28"/>
          <w:szCs w:val="28"/>
        </w:rPr>
        <w:t>National Research Council of Canada; 1978.</w:t>
      </w:r>
      <w:proofErr w:type="gramEnd"/>
      <w:r w:rsidRPr="000C05D1">
        <w:rPr>
          <w:rStyle w:val="element-citation"/>
          <w:rFonts w:ascii="Times New Roman" w:hAnsi="Times New Roman" w:cs="Times New Roman"/>
          <w:color w:val="auto"/>
          <w:sz w:val="28"/>
          <w:szCs w:val="28"/>
        </w:rPr>
        <w:t xml:space="preserve"> pp. 1–349.</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38. </w:t>
      </w:r>
      <w:r w:rsidRPr="000C05D1">
        <w:rPr>
          <w:rStyle w:val="element-citation"/>
          <w:rFonts w:ascii="Times New Roman" w:hAnsi="Times New Roman" w:cs="Times New Roman"/>
          <w:color w:val="auto"/>
          <w:sz w:val="28"/>
          <w:szCs w:val="28"/>
        </w:rPr>
        <w:t>Morton WE, Dunnette DA. Health effects of environmental arsenic. In: Nriagu JO, editor. </w:t>
      </w:r>
      <w:r w:rsidRPr="000C05D1">
        <w:rPr>
          <w:rStyle w:val="ref-journal"/>
          <w:rFonts w:ascii="Times New Roman" w:hAnsi="Times New Roman" w:cs="Times New Roman"/>
          <w:color w:val="auto"/>
          <w:sz w:val="28"/>
          <w:szCs w:val="28"/>
        </w:rPr>
        <w:t>Arsenic in the Environment Part II: Human Health and Ecosystem Effects.</w:t>
      </w:r>
      <w:r w:rsidRPr="000C05D1">
        <w:rPr>
          <w:rStyle w:val="element-citation"/>
          <w:rFonts w:ascii="Times New Roman" w:hAnsi="Times New Roman" w:cs="Times New Roman"/>
          <w:color w:val="auto"/>
          <w:sz w:val="28"/>
          <w:szCs w:val="28"/>
        </w:rPr>
        <w:t> </w:t>
      </w:r>
      <w:smartTag w:uri="urn:schemas-microsoft-com:office:smarttags" w:element="State">
        <w:smartTag w:uri="urn:schemas-microsoft-com:office:smarttags" w:element="place">
          <w:r w:rsidRPr="000C05D1">
            <w:rPr>
              <w:rStyle w:val="element-citation"/>
              <w:rFonts w:ascii="Times New Roman" w:hAnsi="Times New Roman" w:cs="Times New Roman"/>
              <w:color w:val="auto"/>
              <w:sz w:val="28"/>
              <w:szCs w:val="28"/>
            </w:rPr>
            <w:t>New York</w:t>
          </w:r>
        </w:smartTag>
      </w:smartTag>
      <w:r w:rsidRPr="000C05D1">
        <w:rPr>
          <w:rStyle w:val="element-citation"/>
          <w:rFonts w:ascii="Times New Roman" w:hAnsi="Times New Roman" w:cs="Times New Roman"/>
          <w:color w:val="auto"/>
          <w:sz w:val="28"/>
          <w:szCs w:val="28"/>
        </w:rPr>
        <w:t>: John Wiley &amp; Sons, Inc; 1994. pp. 17–34.</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39. </w:t>
      </w:r>
      <w:r w:rsidRPr="000C05D1">
        <w:rPr>
          <w:rStyle w:val="element-citation"/>
          <w:rFonts w:ascii="Times New Roman" w:hAnsi="Times New Roman" w:cs="Times New Roman"/>
          <w:color w:val="auto"/>
          <w:sz w:val="28"/>
          <w:szCs w:val="28"/>
        </w:rPr>
        <w:t>National Research Council. </w:t>
      </w:r>
      <w:proofErr w:type="gramStart"/>
      <w:r w:rsidRPr="000C05D1">
        <w:rPr>
          <w:rStyle w:val="ref-journal"/>
          <w:rFonts w:ascii="Times New Roman" w:hAnsi="Times New Roman" w:cs="Times New Roman"/>
          <w:color w:val="auto"/>
          <w:sz w:val="28"/>
          <w:szCs w:val="28"/>
        </w:rPr>
        <w:t>Arsenic in Drinking Water.</w:t>
      </w:r>
      <w:proofErr w:type="gramEnd"/>
      <w:r w:rsidRPr="000C05D1">
        <w:rPr>
          <w:rStyle w:val="ref-journal"/>
          <w:rFonts w:ascii="Times New Roman" w:hAnsi="Times New Roman" w:cs="Times New Roman"/>
          <w:color w:val="auto"/>
          <w:sz w:val="28"/>
          <w:szCs w:val="28"/>
        </w:rPr>
        <w:t xml:space="preserve"> 2001 Update. </w:t>
      </w:r>
      <w:r w:rsidRPr="000C05D1">
        <w:rPr>
          <w:rStyle w:val="element-citation"/>
          <w:rFonts w:ascii="Times New Roman" w:hAnsi="Times New Roman" w:cs="Times New Roman"/>
          <w:color w:val="auto"/>
          <w:sz w:val="28"/>
          <w:szCs w:val="28"/>
        </w:rPr>
        <w:t>2001 On line at</w:t>
      </w:r>
      <w:proofErr w:type="gramStart"/>
      <w:r w:rsidRPr="000C05D1">
        <w:rPr>
          <w:rStyle w:val="element-citation"/>
          <w:rFonts w:ascii="Times New Roman" w:hAnsi="Times New Roman" w:cs="Times New Roman"/>
          <w:color w:val="auto"/>
          <w:sz w:val="28"/>
          <w:szCs w:val="28"/>
        </w:rPr>
        <w:t>:</w:t>
      </w:r>
      <w:proofErr w:type="gramEnd"/>
      <w:r w:rsidRPr="000C05D1">
        <w:rPr>
          <w:rStyle w:val="element-citation"/>
          <w:rFonts w:ascii="Times New Roman" w:hAnsi="Times New Roman" w:cs="Times New Roman"/>
          <w:color w:val="auto"/>
          <w:sz w:val="28"/>
          <w:szCs w:val="28"/>
        </w:rPr>
        <w:fldChar w:fldCharType="begin"/>
      </w:r>
      <w:r w:rsidRPr="000C05D1">
        <w:rPr>
          <w:rStyle w:val="element-citation"/>
          <w:rFonts w:ascii="Times New Roman" w:hAnsi="Times New Roman" w:cs="Times New Roman"/>
          <w:color w:val="auto"/>
          <w:sz w:val="28"/>
          <w:szCs w:val="28"/>
        </w:rPr>
        <w:instrText xml:space="preserve"> HYPERLINK "http://www.nap.edu/books/0309076293/html/" \t "pmc_ext" </w:instrText>
      </w:r>
      <w:r w:rsidRPr="000C05D1">
        <w:rPr>
          <w:rStyle w:val="element-citation"/>
          <w:rFonts w:ascii="Times New Roman" w:hAnsi="Times New Roman" w:cs="Times New Roman"/>
          <w:color w:val="auto"/>
          <w:sz w:val="28"/>
          <w:szCs w:val="28"/>
        </w:rPr>
        <w:fldChar w:fldCharType="separate"/>
      </w:r>
      <w:r w:rsidRPr="000C05D1">
        <w:rPr>
          <w:rStyle w:val="ac"/>
          <w:rFonts w:ascii="Times New Roman" w:hAnsi="Times New Roman" w:cs="Times New Roman"/>
          <w:color w:val="auto"/>
          <w:sz w:val="28"/>
          <w:szCs w:val="28"/>
          <w:u w:val="none"/>
        </w:rPr>
        <w:t>http://www.nap.edu/ books/0309076293/html/</w:t>
      </w:r>
      <w:r w:rsidRPr="000C05D1">
        <w:rPr>
          <w:rStyle w:val="element-citation"/>
          <w:rFonts w:ascii="Times New Roman" w:hAnsi="Times New Roman" w:cs="Times New Roman"/>
          <w:color w:val="auto"/>
          <w:sz w:val="28"/>
          <w:szCs w:val="28"/>
        </w:rPr>
        <w:fldChar w:fldCharType="end"/>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87"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40. </w:t>
      </w:r>
      <w:r w:rsidRPr="000C05D1">
        <w:rPr>
          <w:rStyle w:val="element-citation"/>
          <w:rFonts w:ascii="Times New Roman" w:hAnsi="Times New Roman" w:cs="Times New Roman"/>
          <w:color w:val="auto"/>
          <w:sz w:val="28"/>
          <w:szCs w:val="28"/>
        </w:rPr>
        <w:t xml:space="preserve">Tchounwou PB, Centeno JA. </w:t>
      </w:r>
      <w:proofErr w:type="gramStart"/>
      <w:r w:rsidRPr="000C05D1">
        <w:rPr>
          <w:rStyle w:val="element-citation"/>
          <w:rFonts w:ascii="Times New Roman" w:hAnsi="Times New Roman" w:cs="Times New Roman"/>
          <w:color w:val="auto"/>
          <w:sz w:val="28"/>
          <w:szCs w:val="28"/>
        </w:rPr>
        <w:t>Toxicologic pathology.</w:t>
      </w:r>
      <w:proofErr w:type="gramEnd"/>
      <w:r w:rsidRPr="000C05D1">
        <w:rPr>
          <w:rStyle w:val="element-citation"/>
          <w:rFonts w:ascii="Times New Roman" w:hAnsi="Times New Roman" w:cs="Times New Roman"/>
          <w:color w:val="auto"/>
          <w:sz w:val="28"/>
          <w:szCs w:val="28"/>
        </w:rPr>
        <w:t xml:space="preserve"> In: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Gad</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SC</w:t>
          </w:r>
        </w:smartTag>
      </w:smartTag>
      <w:r w:rsidRPr="000C05D1">
        <w:rPr>
          <w:rStyle w:val="element-citation"/>
          <w:rFonts w:ascii="Times New Roman" w:hAnsi="Times New Roman" w:cs="Times New Roman"/>
          <w:color w:val="auto"/>
          <w:sz w:val="28"/>
          <w:szCs w:val="28"/>
        </w:rPr>
        <w:t>, editor. </w:t>
      </w:r>
      <w:proofErr w:type="gramStart"/>
      <w:r w:rsidRPr="000C05D1">
        <w:rPr>
          <w:rStyle w:val="ref-journal"/>
          <w:rFonts w:ascii="Times New Roman" w:hAnsi="Times New Roman" w:cs="Times New Roman"/>
          <w:color w:val="auto"/>
          <w:sz w:val="28"/>
          <w:szCs w:val="28"/>
        </w:rPr>
        <w:t>Handbook of Pre-Clinical Development.</w:t>
      </w:r>
      <w:proofErr w:type="gramEnd"/>
      <w:r w:rsidRPr="000C05D1">
        <w:rPr>
          <w:rStyle w:val="element-citation"/>
          <w:rFonts w:ascii="Times New Roman" w:hAnsi="Times New Roman" w:cs="Times New Roman"/>
          <w:color w:val="auto"/>
          <w:sz w:val="28"/>
          <w:szCs w:val="28"/>
        </w:rPr>
        <w:t> </w:t>
      </w:r>
      <w:smartTag w:uri="urn:schemas-microsoft-com:office:smarttags" w:element="State">
        <w:smartTag w:uri="urn:schemas-microsoft-com:office:smarttags" w:element="place">
          <w:r w:rsidRPr="000C05D1">
            <w:rPr>
              <w:rStyle w:val="element-citation"/>
              <w:rFonts w:ascii="Times New Roman" w:hAnsi="Times New Roman" w:cs="Times New Roman"/>
              <w:color w:val="auto"/>
              <w:sz w:val="28"/>
              <w:szCs w:val="28"/>
            </w:rPr>
            <w:t>New York</w:t>
          </w:r>
        </w:smartTag>
      </w:smartTag>
      <w:r w:rsidRPr="000C05D1">
        <w:rPr>
          <w:rStyle w:val="element-citation"/>
          <w:rFonts w:ascii="Times New Roman" w:hAnsi="Times New Roman" w:cs="Times New Roman"/>
          <w:color w:val="auto"/>
          <w:sz w:val="28"/>
          <w:szCs w:val="28"/>
        </w:rPr>
        <w:t>. NY: John Wiley &amp; Sons; 2008. pp. 551–580.</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lang w:val="pl-PL"/>
        </w:rPr>
        <w:t>41. </w:t>
      </w:r>
      <w:r w:rsidRPr="000C05D1">
        <w:rPr>
          <w:rStyle w:val="element-citation"/>
          <w:rFonts w:ascii="Times New Roman" w:hAnsi="Times New Roman" w:cs="Times New Roman"/>
          <w:color w:val="auto"/>
          <w:sz w:val="28"/>
          <w:szCs w:val="28"/>
          <w:lang w:val="pl-PL"/>
        </w:rPr>
        <w:t xml:space="preserve">Tchounwou PB, Patlolla AK, Centeno JA. </w:t>
      </w:r>
      <w:r w:rsidRPr="000C05D1">
        <w:rPr>
          <w:rStyle w:val="element-citation"/>
          <w:rFonts w:ascii="Times New Roman" w:hAnsi="Times New Roman" w:cs="Times New Roman"/>
          <w:color w:val="auto"/>
          <w:sz w:val="28"/>
          <w:szCs w:val="28"/>
        </w:rPr>
        <w:t>Carcinogenic and systemic health effects associated with arsenic exposure-a critical review. </w:t>
      </w:r>
      <w:r w:rsidRPr="000C05D1">
        <w:rPr>
          <w:rStyle w:val="ref-journal"/>
          <w:rFonts w:ascii="Times New Roman" w:hAnsi="Times New Roman" w:cs="Times New Roman"/>
          <w:color w:val="auto"/>
          <w:sz w:val="28"/>
          <w:szCs w:val="28"/>
        </w:rPr>
        <w:t>Toxicol Pathol. </w:t>
      </w:r>
      <w:r w:rsidRPr="000C05D1">
        <w:rPr>
          <w:rStyle w:val="element-citation"/>
          <w:rFonts w:ascii="Times New Roman" w:hAnsi="Times New Roman" w:cs="Times New Roman"/>
          <w:color w:val="auto"/>
          <w:sz w:val="28"/>
          <w:szCs w:val="28"/>
        </w:rPr>
        <w:t>2003</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31</w:t>
      </w:r>
      <w:proofErr w:type="gramEnd"/>
      <w:r w:rsidRPr="000C05D1">
        <w:rPr>
          <w:rStyle w:val="element-citation"/>
          <w:rFonts w:ascii="Times New Roman" w:hAnsi="Times New Roman" w:cs="Times New Roman"/>
          <w:color w:val="auto"/>
          <w:sz w:val="28"/>
          <w:szCs w:val="28"/>
        </w:rPr>
        <w:t>(6):575–588. </w:t>
      </w:r>
      <w:r w:rsidRPr="000C05D1">
        <w:rPr>
          <w:rStyle w:val="nowraprefpubmed"/>
          <w:rFonts w:ascii="Times New Roman" w:hAnsi="Times New Roman" w:cs="Times New Roman"/>
          <w:color w:val="auto"/>
          <w:sz w:val="28"/>
          <w:szCs w:val="28"/>
        </w:rPr>
        <w:t>[</w:t>
      </w:r>
      <w:hyperlink r:id="rId488"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t>42. </w:t>
      </w:r>
      <w:r w:rsidRPr="000C05D1">
        <w:rPr>
          <w:rStyle w:val="element-citation"/>
          <w:rFonts w:ascii="Times New Roman" w:hAnsi="Times New Roman" w:cs="Times New Roman"/>
          <w:color w:val="auto"/>
          <w:sz w:val="28"/>
          <w:szCs w:val="28"/>
        </w:rPr>
        <w:t xml:space="preserve">Tchounwou PB, </w:t>
      </w:r>
      <w:smartTag w:uri="urn:schemas-microsoft-com:office:smarttags" w:element="City">
        <w:r w:rsidRPr="000C05D1">
          <w:rPr>
            <w:rStyle w:val="element-citation"/>
            <w:rFonts w:ascii="Times New Roman" w:hAnsi="Times New Roman" w:cs="Times New Roman"/>
            <w:color w:val="auto"/>
            <w:sz w:val="28"/>
            <w:szCs w:val="28"/>
          </w:rPr>
          <w:t>Wilson</w:t>
        </w:r>
      </w:smartTag>
      <w:r w:rsidRPr="000C05D1">
        <w:rPr>
          <w:rStyle w:val="element-citation"/>
          <w:rFonts w:ascii="Times New Roman" w:hAnsi="Times New Roman" w:cs="Times New Roman"/>
          <w:color w:val="auto"/>
          <w:sz w:val="28"/>
          <w:szCs w:val="28"/>
        </w:rPr>
        <w:t xml:space="preserve"> BA, Abdelgnani AA, </w:t>
      </w:r>
      <w:smartTag w:uri="urn:schemas-microsoft-com:office:smarttags" w:element="City">
        <w:r w:rsidRPr="000C05D1">
          <w:rPr>
            <w:rStyle w:val="element-citation"/>
            <w:rFonts w:ascii="Times New Roman" w:hAnsi="Times New Roman" w:cs="Times New Roman"/>
            <w:color w:val="auto"/>
            <w:sz w:val="28"/>
            <w:szCs w:val="28"/>
          </w:rPr>
          <w:t>Ishaque</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AB</w:t>
        </w:r>
      </w:smartTag>
      <w:r w:rsidRPr="000C05D1">
        <w:rPr>
          <w:rStyle w:val="element-citation"/>
          <w:rFonts w:ascii="Times New Roman" w:hAnsi="Times New Roman" w:cs="Times New Roman"/>
          <w:color w:val="auto"/>
          <w:sz w:val="28"/>
          <w:szCs w:val="28"/>
        </w:rPr>
        <w:t xml:space="preserve">, </w:t>
      </w:r>
      <w:smartTag w:uri="urn:schemas-microsoft-com:office:smarttags" w:element="place">
        <w:smartTag w:uri="urn:schemas-microsoft-com:office:smarttags" w:element="City">
          <w:r w:rsidRPr="000C05D1">
            <w:rPr>
              <w:rStyle w:val="element-citation"/>
              <w:rFonts w:ascii="Times New Roman" w:hAnsi="Times New Roman" w:cs="Times New Roman"/>
              <w:color w:val="auto"/>
              <w:sz w:val="28"/>
              <w:szCs w:val="28"/>
            </w:rPr>
            <w:t>Patlolla</w:t>
          </w:r>
        </w:smartTag>
        <w:r w:rsidRPr="000C05D1">
          <w:rPr>
            <w:rStyle w:val="element-citation"/>
            <w:rFonts w:ascii="Times New Roman" w:hAnsi="Times New Roman" w:cs="Times New Roman"/>
            <w:color w:val="auto"/>
            <w:sz w:val="28"/>
            <w:szCs w:val="28"/>
          </w:rPr>
          <w:t xml:space="preserve"> </w:t>
        </w:r>
        <w:smartTag w:uri="urn:schemas-microsoft-com:office:smarttags" w:element="State">
          <w:r w:rsidRPr="000C05D1">
            <w:rPr>
              <w:rStyle w:val="element-citation"/>
              <w:rFonts w:ascii="Times New Roman" w:hAnsi="Times New Roman" w:cs="Times New Roman"/>
              <w:color w:val="auto"/>
              <w:sz w:val="28"/>
              <w:szCs w:val="28"/>
            </w:rPr>
            <w:t>AK</w:t>
          </w:r>
        </w:smartTag>
      </w:smartTag>
      <w:r w:rsidRPr="000C05D1">
        <w:rPr>
          <w:rStyle w:val="element-citation"/>
          <w:rFonts w:ascii="Times New Roman" w:hAnsi="Times New Roman" w:cs="Times New Roman"/>
          <w:color w:val="auto"/>
          <w:sz w:val="28"/>
          <w:szCs w:val="28"/>
        </w:rPr>
        <w:t>. Differential cytotoxicity and gene expression in human liver carcinoma (HepG</w:t>
      </w:r>
      <w:r w:rsidRPr="000C05D1">
        <w:rPr>
          <w:rStyle w:val="element-citation"/>
          <w:rFonts w:ascii="Times New Roman" w:hAnsi="Times New Roman" w:cs="Times New Roman"/>
          <w:color w:val="auto"/>
          <w:sz w:val="28"/>
          <w:szCs w:val="28"/>
          <w:vertAlign w:val="subscript"/>
        </w:rPr>
        <w:t>2</w:t>
      </w:r>
      <w:r w:rsidRPr="000C05D1">
        <w:rPr>
          <w:rStyle w:val="element-citation"/>
          <w:rFonts w:ascii="Times New Roman" w:hAnsi="Times New Roman" w:cs="Times New Roman"/>
          <w:color w:val="auto"/>
          <w:sz w:val="28"/>
          <w:szCs w:val="28"/>
        </w:rPr>
        <w:t>) cells exposed to arsenic trioxide and monosodium acid methanearsonate (MSMA) </w:t>
      </w:r>
      <w:r w:rsidRPr="000C05D1">
        <w:rPr>
          <w:rStyle w:val="ref-journal"/>
          <w:rFonts w:ascii="Times New Roman" w:hAnsi="Times New Roman" w:cs="Times New Roman"/>
          <w:color w:val="auto"/>
          <w:sz w:val="28"/>
          <w:szCs w:val="28"/>
        </w:rPr>
        <w:t>Intl J Mol Sci. </w:t>
      </w:r>
      <w:r w:rsidRPr="000C05D1">
        <w:rPr>
          <w:rStyle w:val="element-citation"/>
          <w:rFonts w:ascii="Times New Roman" w:hAnsi="Times New Roman" w:cs="Times New Roman"/>
          <w:color w:val="auto"/>
          <w:sz w:val="28"/>
          <w:szCs w:val="28"/>
        </w:rPr>
        <w:t>2002</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w:t>
      </w:r>
      <w:r w:rsidRPr="000C05D1">
        <w:rPr>
          <w:rStyle w:val="element-citation"/>
          <w:rFonts w:ascii="Times New Roman" w:hAnsi="Times New Roman" w:cs="Times New Roman"/>
          <w:color w:val="auto"/>
          <w:sz w:val="28"/>
          <w:szCs w:val="28"/>
        </w:rPr>
        <w:t>:1117</w:t>
      </w:r>
      <w:proofErr w:type="gramEnd"/>
      <w:r w:rsidRPr="000C05D1">
        <w:rPr>
          <w:rStyle w:val="element-citation"/>
          <w:rFonts w:ascii="Times New Roman" w:hAnsi="Times New Roman" w:cs="Times New Roman"/>
          <w:color w:val="auto"/>
          <w:sz w:val="28"/>
          <w:szCs w:val="28"/>
        </w:rPr>
        <w:t>–1132.</w:t>
      </w:r>
    </w:p>
    <w:p w:rsidR="000C05D1" w:rsidRDefault="000C05D1" w:rsidP="000C05D1">
      <w:pPr>
        <w:shd w:val="clear" w:color="auto" w:fill="FFFFFF"/>
        <w:ind w:left="360" w:hanging="360"/>
        <w:jc w:val="both"/>
        <w:rPr>
          <w:rStyle w:val="nowraprefpubmed"/>
          <w:rFonts w:ascii="Times New Roman" w:hAnsi="Times New Roman" w:cs="Times New Roman"/>
          <w:color w:val="auto"/>
          <w:sz w:val="28"/>
          <w:szCs w:val="28"/>
        </w:rPr>
      </w:pPr>
      <w:r w:rsidRPr="000C05D1">
        <w:rPr>
          <w:rFonts w:ascii="Times New Roman" w:hAnsi="Times New Roman" w:cs="Times New Roman"/>
          <w:color w:val="auto"/>
          <w:sz w:val="28"/>
          <w:szCs w:val="28"/>
        </w:rPr>
        <w:t>43. </w:t>
      </w:r>
      <w:r w:rsidRPr="000C05D1">
        <w:rPr>
          <w:rStyle w:val="element-citation"/>
          <w:rFonts w:ascii="Times New Roman" w:hAnsi="Times New Roman" w:cs="Times New Roman"/>
          <w:color w:val="auto"/>
          <w:sz w:val="28"/>
          <w:szCs w:val="28"/>
        </w:rPr>
        <w:t>Yedjou GC, Moore P, Tchounwou PB. Dose and time dependent response of human leukemia (HL-60) cells to arsenic trioxide. </w:t>
      </w:r>
      <w:r w:rsidRPr="000C05D1">
        <w:rPr>
          <w:rStyle w:val="ref-journal"/>
          <w:rFonts w:ascii="Times New Roman" w:hAnsi="Times New Roman" w:cs="Times New Roman"/>
          <w:color w:val="auto"/>
          <w:sz w:val="28"/>
          <w:szCs w:val="28"/>
        </w:rPr>
        <w:t>Intl J Environ Res Public Health. </w:t>
      </w:r>
      <w:r w:rsidRPr="000C05D1">
        <w:rPr>
          <w:rStyle w:val="element-citation"/>
          <w:rFonts w:ascii="Times New Roman" w:hAnsi="Times New Roman" w:cs="Times New Roman"/>
          <w:color w:val="auto"/>
          <w:sz w:val="28"/>
          <w:szCs w:val="28"/>
        </w:rPr>
        <w:t>2006</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3</w:t>
      </w:r>
      <w:proofErr w:type="gramEnd"/>
      <w:r w:rsidRPr="000C05D1">
        <w:rPr>
          <w:rStyle w:val="element-citation"/>
          <w:rFonts w:ascii="Times New Roman" w:hAnsi="Times New Roman" w:cs="Times New Roman"/>
          <w:color w:val="auto"/>
          <w:sz w:val="28"/>
          <w:szCs w:val="28"/>
        </w:rPr>
        <w:t>(2):136–140. </w:t>
      </w:r>
      <w:r w:rsidRPr="000C05D1">
        <w:rPr>
          <w:rStyle w:val="nowraprefpmc"/>
          <w:rFonts w:ascii="Times New Roman" w:hAnsi="Times New Roman" w:cs="Times New Roman"/>
          <w:color w:val="auto"/>
          <w:sz w:val="28"/>
          <w:szCs w:val="28"/>
        </w:rPr>
        <w:t>[</w:t>
      </w:r>
      <w:hyperlink r:id="rId489"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nowraprefpubmed"/>
          <w:rFonts w:ascii="Times New Roman" w:hAnsi="Times New Roman" w:cs="Times New Roman"/>
          <w:color w:val="auto"/>
          <w:sz w:val="28"/>
          <w:szCs w:val="28"/>
        </w:rPr>
        <w:t>[</w:t>
      </w:r>
      <w:hyperlink r:id="rId490"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864C74" w:rsidRDefault="00864C74" w:rsidP="000C05D1">
      <w:pPr>
        <w:shd w:val="clear" w:color="auto" w:fill="FFFFFF"/>
        <w:ind w:left="360" w:hanging="360"/>
        <w:jc w:val="both"/>
        <w:rPr>
          <w:rStyle w:val="nowraprefpubmed"/>
          <w:rFonts w:ascii="Times New Roman" w:hAnsi="Times New Roman" w:cs="Times New Roman"/>
          <w:color w:val="auto"/>
          <w:sz w:val="28"/>
          <w:szCs w:val="28"/>
        </w:rPr>
      </w:pPr>
    </w:p>
    <w:p w:rsidR="00864C74" w:rsidRDefault="00864C74" w:rsidP="000C05D1">
      <w:pPr>
        <w:shd w:val="clear" w:color="auto" w:fill="FFFFFF"/>
        <w:ind w:left="360" w:hanging="360"/>
        <w:jc w:val="both"/>
        <w:rPr>
          <w:rStyle w:val="nowraprefpubmed"/>
          <w:rFonts w:ascii="Times New Roman" w:hAnsi="Times New Roman" w:cs="Times New Roman"/>
          <w:color w:val="auto"/>
          <w:sz w:val="28"/>
          <w:szCs w:val="28"/>
        </w:rPr>
      </w:pPr>
    </w:p>
    <w:p w:rsidR="00864C74" w:rsidRDefault="00864C74" w:rsidP="000C05D1">
      <w:pPr>
        <w:shd w:val="clear" w:color="auto" w:fill="FFFFFF"/>
        <w:ind w:left="360" w:hanging="360"/>
        <w:jc w:val="both"/>
        <w:rPr>
          <w:rStyle w:val="nowraprefpubmed"/>
          <w:rFonts w:ascii="Times New Roman" w:hAnsi="Times New Roman" w:cs="Times New Roman"/>
          <w:color w:val="auto"/>
          <w:sz w:val="28"/>
          <w:szCs w:val="28"/>
        </w:rPr>
      </w:pPr>
    </w:p>
    <w:p w:rsidR="00864C74" w:rsidRDefault="00864C74" w:rsidP="000C05D1">
      <w:pPr>
        <w:shd w:val="clear" w:color="auto" w:fill="FFFFFF"/>
        <w:ind w:left="360" w:hanging="360"/>
        <w:jc w:val="both"/>
        <w:rPr>
          <w:rStyle w:val="nowraprefpubmed"/>
          <w:rFonts w:ascii="Times New Roman" w:hAnsi="Times New Roman" w:cs="Times New Roman"/>
          <w:color w:val="auto"/>
          <w:sz w:val="28"/>
          <w:szCs w:val="28"/>
        </w:rPr>
      </w:pPr>
    </w:p>
    <w:p w:rsidR="00864C74" w:rsidRDefault="00864C74" w:rsidP="000C05D1">
      <w:pPr>
        <w:shd w:val="clear" w:color="auto" w:fill="FFFFFF"/>
        <w:ind w:left="360" w:hanging="360"/>
        <w:jc w:val="both"/>
        <w:rPr>
          <w:rStyle w:val="nowraprefpubmed"/>
          <w:rFonts w:ascii="Times New Roman" w:hAnsi="Times New Roman" w:cs="Times New Roman"/>
          <w:color w:val="auto"/>
          <w:sz w:val="28"/>
          <w:szCs w:val="28"/>
        </w:rPr>
      </w:pPr>
    </w:p>
    <w:p w:rsidR="00864C74" w:rsidRPr="000C05D1" w:rsidRDefault="00864C74" w:rsidP="000C05D1">
      <w:pPr>
        <w:shd w:val="clear" w:color="auto" w:fill="FFFFFF"/>
        <w:ind w:left="360" w:hanging="360"/>
        <w:jc w:val="both"/>
        <w:rPr>
          <w:rFonts w:ascii="Times New Roman" w:hAnsi="Times New Roman" w:cs="Times New Roman"/>
          <w:color w:val="auto"/>
          <w:sz w:val="28"/>
          <w:szCs w:val="28"/>
        </w:rPr>
      </w:pPr>
    </w:p>
    <w:p w:rsidR="000C05D1" w:rsidRPr="000C05D1" w:rsidRDefault="000C05D1" w:rsidP="000C05D1">
      <w:pPr>
        <w:shd w:val="clear" w:color="auto" w:fill="FFFFFF"/>
        <w:ind w:left="360" w:hanging="360"/>
        <w:jc w:val="both"/>
        <w:rPr>
          <w:rFonts w:ascii="Times New Roman" w:hAnsi="Times New Roman" w:cs="Times New Roman"/>
          <w:color w:val="auto"/>
          <w:sz w:val="28"/>
          <w:szCs w:val="28"/>
        </w:rPr>
      </w:pPr>
      <w:r w:rsidRPr="000C05D1">
        <w:rPr>
          <w:rFonts w:ascii="Times New Roman" w:hAnsi="Times New Roman" w:cs="Times New Roman"/>
          <w:color w:val="auto"/>
          <w:sz w:val="28"/>
          <w:szCs w:val="28"/>
        </w:rPr>
        <w:lastRenderedPageBreak/>
        <w:t>44. </w:t>
      </w:r>
      <w:r w:rsidRPr="000C05D1">
        <w:rPr>
          <w:rStyle w:val="element-citation"/>
          <w:rFonts w:ascii="Times New Roman" w:hAnsi="Times New Roman" w:cs="Times New Roman"/>
          <w:color w:val="auto"/>
          <w:sz w:val="28"/>
          <w:szCs w:val="28"/>
        </w:rPr>
        <w:t>Chappell W, Beck B, Brown K, North D, Thornton I, Chaney R, Cothern R, Cothern CR, North DW, Irgolic K, Thornton I, Tsongas T. Inorganic arsenic: A need and an opportunity to improve risk assessment. </w:t>
      </w:r>
      <w:r w:rsidRPr="000C05D1">
        <w:rPr>
          <w:rStyle w:val="ref-journal"/>
          <w:rFonts w:ascii="Times New Roman" w:hAnsi="Times New Roman" w:cs="Times New Roman"/>
          <w:color w:val="auto"/>
          <w:sz w:val="28"/>
          <w:szCs w:val="28"/>
        </w:rPr>
        <w:t>Environ Health Perspect. </w:t>
      </w:r>
      <w:r w:rsidRPr="000C05D1">
        <w:rPr>
          <w:rStyle w:val="element-citation"/>
          <w:rFonts w:ascii="Times New Roman" w:hAnsi="Times New Roman" w:cs="Times New Roman"/>
          <w:color w:val="auto"/>
          <w:sz w:val="28"/>
          <w:szCs w:val="28"/>
        </w:rPr>
        <w:t>1997</w:t>
      </w:r>
      <w:proofErr w:type="gramStart"/>
      <w:r w:rsidRPr="000C05D1">
        <w:rPr>
          <w:rStyle w:val="element-citation"/>
          <w:rFonts w:ascii="Times New Roman" w:hAnsi="Times New Roman" w:cs="Times New Roman"/>
          <w:color w:val="auto"/>
          <w:sz w:val="28"/>
          <w:szCs w:val="28"/>
        </w:rPr>
        <w:t>;</w:t>
      </w:r>
      <w:r w:rsidRPr="000C05D1">
        <w:rPr>
          <w:rStyle w:val="ref-vol"/>
          <w:rFonts w:ascii="Times New Roman" w:hAnsi="Times New Roman" w:cs="Times New Roman"/>
          <w:color w:val="auto"/>
          <w:sz w:val="28"/>
          <w:szCs w:val="28"/>
        </w:rPr>
        <w:t>105</w:t>
      </w:r>
      <w:r w:rsidRPr="000C05D1">
        <w:rPr>
          <w:rStyle w:val="element-citation"/>
          <w:rFonts w:ascii="Times New Roman" w:hAnsi="Times New Roman" w:cs="Times New Roman"/>
          <w:color w:val="auto"/>
          <w:sz w:val="28"/>
          <w:szCs w:val="28"/>
        </w:rPr>
        <w:t>:1060</w:t>
      </w:r>
      <w:proofErr w:type="gramEnd"/>
      <w:r w:rsidRPr="000C05D1">
        <w:rPr>
          <w:rStyle w:val="element-citation"/>
          <w:rFonts w:ascii="Times New Roman" w:hAnsi="Times New Roman" w:cs="Times New Roman"/>
          <w:color w:val="auto"/>
          <w:sz w:val="28"/>
          <w:szCs w:val="28"/>
        </w:rPr>
        <w:t>–1067. </w:t>
      </w:r>
      <w:r w:rsidRPr="000C05D1">
        <w:rPr>
          <w:rStyle w:val="nowraprefpmc"/>
          <w:rFonts w:ascii="Times New Roman" w:hAnsi="Times New Roman" w:cs="Times New Roman"/>
          <w:color w:val="auto"/>
          <w:sz w:val="28"/>
          <w:szCs w:val="28"/>
        </w:rPr>
        <w:t>[</w:t>
      </w:r>
      <w:hyperlink r:id="rId491" w:history="1">
        <w:r w:rsidRPr="000C05D1">
          <w:rPr>
            <w:rStyle w:val="ac"/>
            <w:rFonts w:ascii="Times New Roman" w:hAnsi="Times New Roman" w:cs="Times New Roman"/>
            <w:color w:val="auto"/>
            <w:sz w:val="28"/>
            <w:szCs w:val="28"/>
            <w:u w:val="none"/>
          </w:rPr>
          <w:t>PMC free article</w:t>
        </w:r>
      </w:hyperlink>
      <w:r w:rsidRPr="000C05D1">
        <w:rPr>
          <w:rStyle w:val="nowraprefpmc"/>
          <w:rFonts w:ascii="Times New Roman" w:hAnsi="Times New Roman" w:cs="Times New Roman"/>
          <w:color w:val="auto"/>
          <w:sz w:val="28"/>
          <w:szCs w:val="28"/>
        </w:rPr>
        <w:t>]</w:t>
      </w:r>
      <w:r w:rsidRPr="000C05D1">
        <w:rPr>
          <w:rStyle w:val="element-citation"/>
          <w:rFonts w:ascii="Times New Roman" w:hAnsi="Times New Roman" w:cs="Times New Roman"/>
          <w:color w:val="auto"/>
          <w:sz w:val="28"/>
          <w:szCs w:val="28"/>
        </w:rPr>
        <w:t> </w:t>
      </w:r>
      <w:r w:rsidRPr="000C05D1">
        <w:rPr>
          <w:rStyle w:val="nowraprefpubmed"/>
          <w:rFonts w:ascii="Times New Roman" w:hAnsi="Times New Roman" w:cs="Times New Roman"/>
          <w:color w:val="auto"/>
          <w:sz w:val="28"/>
          <w:szCs w:val="28"/>
        </w:rPr>
        <w:t>[</w:t>
      </w:r>
      <w:hyperlink r:id="rId492" w:tgtFrame="pmc_ext" w:history="1">
        <w:r w:rsidRPr="000C05D1">
          <w:rPr>
            <w:rStyle w:val="ac"/>
            <w:rFonts w:ascii="Times New Roman" w:hAnsi="Times New Roman" w:cs="Times New Roman"/>
            <w:color w:val="auto"/>
            <w:sz w:val="28"/>
            <w:szCs w:val="28"/>
            <w:u w:val="none"/>
          </w:rPr>
          <w:t>PubMed</w:t>
        </w:r>
      </w:hyperlink>
      <w:r w:rsidRPr="000C05D1">
        <w:rPr>
          <w:rStyle w:val="nowraprefpubmed"/>
          <w:rFonts w:ascii="Times New Roman" w:hAnsi="Times New Roman" w:cs="Times New Roman"/>
          <w:color w:val="auto"/>
          <w:sz w:val="28"/>
          <w:szCs w:val="28"/>
        </w:rPr>
        <w:t>]</w:t>
      </w:r>
    </w:p>
    <w:p w:rsidR="00FD025C" w:rsidRDefault="00FD025C" w:rsidP="00FF3C51">
      <w:pPr>
        <w:ind w:firstLine="720"/>
        <w:jc w:val="both"/>
        <w:rPr>
          <w:rFonts w:ascii="Times New Roman" w:hAnsi="Times New Roman" w:cs="Times New Roman"/>
          <w:sz w:val="28"/>
          <w:szCs w:val="28"/>
          <w:lang w:val="kk-KZ"/>
        </w:rPr>
      </w:pPr>
    </w:p>
    <w:p w:rsidR="00FD025C" w:rsidRDefault="00FD025C" w:rsidP="00FF3C51">
      <w:pPr>
        <w:ind w:firstLine="720"/>
        <w:jc w:val="both"/>
        <w:rPr>
          <w:rFonts w:ascii="Times New Roman" w:hAnsi="Times New Roman" w:cs="Times New Roman"/>
          <w:sz w:val="28"/>
          <w:szCs w:val="28"/>
          <w:lang w:val="kk-KZ"/>
        </w:rPr>
      </w:pPr>
    </w:p>
    <w:p w:rsidR="00FD025C" w:rsidRDefault="00FD025C" w:rsidP="00FF3C51">
      <w:pPr>
        <w:ind w:firstLine="720"/>
        <w:jc w:val="both"/>
        <w:rPr>
          <w:rFonts w:ascii="Times New Roman" w:hAnsi="Times New Roman" w:cs="Times New Roman"/>
          <w:sz w:val="28"/>
          <w:szCs w:val="28"/>
          <w:lang w:val="kk-KZ"/>
        </w:rPr>
      </w:pPr>
    </w:p>
    <w:p w:rsidR="00027B5B" w:rsidRDefault="00027B5B" w:rsidP="00FF3C51">
      <w:pPr>
        <w:ind w:firstLine="720"/>
        <w:jc w:val="both"/>
        <w:rPr>
          <w:rFonts w:ascii="Times New Roman" w:hAnsi="Times New Roman" w:cs="Times New Roman"/>
          <w:sz w:val="28"/>
          <w:szCs w:val="28"/>
        </w:rPr>
      </w:pPr>
    </w:p>
    <w:p w:rsidR="00027B5B" w:rsidRDefault="00027B5B"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Pr="006376E4" w:rsidRDefault="009101B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4E5A3A" w:rsidRPr="006376E4" w:rsidRDefault="004E5A3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Pr="00027B5B" w:rsidRDefault="009101BA" w:rsidP="00FF3C51">
      <w:pPr>
        <w:ind w:firstLine="720"/>
        <w:jc w:val="both"/>
        <w:rPr>
          <w:rFonts w:ascii="Times New Roman" w:hAnsi="Times New Roman" w:cs="Times New Roman"/>
          <w:sz w:val="28"/>
          <w:szCs w:val="28"/>
        </w:rPr>
      </w:pPr>
    </w:p>
    <w:p w:rsidR="00FD025C" w:rsidRDefault="00FD025C" w:rsidP="00FF3C51">
      <w:pPr>
        <w:ind w:firstLine="720"/>
        <w:jc w:val="both"/>
        <w:rPr>
          <w:rFonts w:ascii="Times New Roman" w:hAnsi="Times New Roman" w:cs="Times New Roman"/>
          <w:sz w:val="28"/>
          <w:szCs w:val="28"/>
          <w:lang w:val="kk-KZ"/>
        </w:rPr>
      </w:pPr>
    </w:p>
    <w:p w:rsidR="003E25FC" w:rsidRPr="009D126E" w:rsidRDefault="003E25FC" w:rsidP="003E25FC">
      <w:pPr>
        <w:jc w:val="center"/>
        <w:rPr>
          <w:sz w:val="28"/>
          <w:szCs w:val="28"/>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864C74" w:rsidRDefault="00864C74"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Pr="00864C74" w:rsidRDefault="00637C20" w:rsidP="00DC55A4">
      <w:pPr>
        <w:ind w:firstLine="720"/>
        <w:jc w:val="center"/>
        <w:rPr>
          <w:rFonts w:ascii="Times New Roman" w:hAnsi="Times New Roman" w:cs="Times New Roman"/>
        </w:rPr>
      </w:pPr>
    </w:p>
    <w:p w:rsidR="00864C74" w:rsidRPr="00864C74" w:rsidRDefault="00864C74" w:rsidP="00DC55A4">
      <w:pPr>
        <w:pStyle w:val="2"/>
        <w:shd w:val="clear" w:color="auto" w:fill="FFFFFF"/>
        <w:spacing w:before="0" w:line="339" w:lineRule="atLeast"/>
        <w:jc w:val="center"/>
        <w:rPr>
          <w:rFonts w:ascii="Times New Roman" w:hAnsi="Times New Roman" w:cs="Times New Roman"/>
          <w:b w:val="0"/>
          <w:i w:val="0"/>
          <w:sz w:val="32"/>
          <w:szCs w:val="32"/>
        </w:rPr>
      </w:pPr>
      <w:r w:rsidRPr="00864C74">
        <w:rPr>
          <w:rFonts w:ascii="Times New Roman" w:hAnsi="Times New Roman" w:cs="Times New Roman"/>
          <w:b w:val="0"/>
          <w:i w:val="0"/>
          <w:sz w:val="32"/>
          <w:szCs w:val="32"/>
        </w:rPr>
        <w:t>Iztleuov G.M.</w:t>
      </w:r>
      <w:proofErr w:type="gramStart"/>
      <w:r w:rsidRPr="00864C74">
        <w:rPr>
          <w:rFonts w:ascii="Times New Roman" w:hAnsi="Times New Roman" w:cs="Times New Roman"/>
          <w:b w:val="0"/>
          <w:i w:val="0"/>
          <w:sz w:val="32"/>
          <w:szCs w:val="32"/>
        </w:rPr>
        <w:t>,Turebekova</w:t>
      </w:r>
      <w:proofErr w:type="gramEnd"/>
      <w:r w:rsidRPr="00864C74">
        <w:rPr>
          <w:rFonts w:ascii="Times New Roman" w:hAnsi="Times New Roman" w:cs="Times New Roman"/>
          <w:b w:val="0"/>
          <w:i w:val="0"/>
          <w:sz w:val="32"/>
          <w:szCs w:val="32"/>
        </w:rPr>
        <w:t xml:space="preserve"> G., </w:t>
      </w:r>
    </w:p>
    <w:p w:rsidR="00637C20" w:rsidRPr="00864C74" w:rsidRDefault="00864C74" w:rsidP="00DC55A4">
      <w:pPr>
        <w:pStyle w:val="2"/>
        <w:shd w:val="clear" w:color="auto" w:fill="FFFFFF"/>
        <w:spacing w:before="0" w:line="339" w:lineRule="atLeast"/>
        <w:jc w:val="center"/>
        <w:rPr>
          <w:rFonts w:ascii="Times New Roman" w:hAnsi="Times New Roman" w:cs="Times New Roman"/>
          <w:b w:val="0"/>
          <w:i w:val="0"/>
          <w:sz w:val="24"/>
          <w:szCs w:val="24"/>
        </w:rPr>
      </w:pPr>
      <w:r w:rsidRPr="00864C74">
        <w:rPr>
          <w:rFonts w:ascii="Times New Roman" w:hAnsi="Times New Roman" w:cs="Times New Roman"/>
          <w:b w:val="0"/>
          <w:i w:val="0"/>
          <w:sz w:val="32"/>
          <w:szCs w:val="32"/>
        </w:rPr>
        <w:t>I</w:t>
      </w:r>
      <w:r w:rsidRPr="00864C74">
        <w:rPr>
          <w:rFonts w:ascii="Times New Roman" w:hAnsi="Times New Roman" w:cs="Times New Roman"/>
          <w:b w:val="0"/>
          <w:i w:val="0"/>
          <w:sz w:val="32"/>
          <w:szCs w:val="32"/>
          <w:lang w:val="kk-KZ"/>
        </w:rPr>
        <w:t xml:space="preserve">ndustrial </w:t>
      </w:r>
      <w:r w:rsidRPr="00864C74">
        <w:rPr>
          <w:rFonts w:ascii="Times New Roman" w:hAnsi="Times New Roman" w:cs="Times New Roman"/>
          <w:b w:val="0"/>
          <w:i w:val="0"/>
          <w:sz w:val="32"/>
          <w:szCs w:val="32"/>
        </w:rPr>
        <w:t>ecology</w:t>
      </w:r>
    </w:p>
    <w:p w:rsidR="00DC55A4" w:rsidRPr="00637C20" w:rsidRDefault="00DC55A4" w:rsidP="00DC55A4">
      <w:pPr>
        <w:pStyle w:val="2"/>
        <w:shd w:val="clear" w:color="auto" w:fill="FFFFFF"/>
        <w:spacing w:before="0" w:line="339" w:lineRule="atLeast"/>
        <w:jc w:val="center"/>
        <w:rPr>
          <w:rFonts w:ascii="Times New Roman" w:hAnsi="Times New Roman" w:cs="Times New Roman"/>
          <w:bCs w:val="0"/>
          <w:i w:val="0"/>
          <w:iCs w:val="0"/>
          <w:sz w:val="24"/>
          <w:szCs w:val="24"/>
        </w:rPr>
      </w:pPr>
      <w:r w:rsidRPr="00637C20">
        <w:rPr>
          <w:rFonts w:ascii="Times New Roman" w:hAnsi="Times New Roman" w:cs="Times New Roman"/>
          <w:i w:val="0"/>
          <w:sz w:val="24"/>
          <w:szCs w:val="24"/>
        </w:rPr>
        <w:t>TRAINING MANUAL</w:t>
      </w:r>
    </w:p>
    <w:p w:rsidR="00DC55A4" w:rsidRPr="00DC55A4" w:rsidRDefault="00DC55A4" w:rsidP="00DC55A4">
      <w:pPr>
        <w:ind w:firstLine="567"/>
        <w:jc w:val="center"/>
        <w:rPr>
          <w:rFonts w:ascii="Times New Roman" w:hAnsi="Times New Roman" w:cs="Times New Roman"/>
          <w:sz w:val="28"/>
          <w:szCs w:val="28"/>
        </w:rPr>
      </w:pPr>
    </w:p>
    <w:p w:rsidR="00DC55A4" w:rsidRPr="00DC55A4" w:rsidRDefault="00DC55A4" w:rsidP="00DC55A4">
      <w:pPr>
        <w:ind w:firstLine="567"/>
        <w:jc w:val="center"/>
        <w:rPr>
          <w:rFonts w:ascii="Times New Roman" w:hAnsi="Times New Roman" w:cs="Times New Roman"/>
          <w:sz w:val="28"/>
          <w:szCs w:val="28"/>
        </w:rPr>
      </w:pPr>
      <w:proofErr w:type="gramStart"/>
      <w:r w:rsidRPr="00DC55A4">
        <w:rPr>
          <w:rFonts w:ascii="Times New Roman" w:hAnsi="Times New Roman" w:cs="Times New Roman"/>
          <w:sz w:val="28"/>
          <w:szCs w:val="28"/>
        </w:rPr>
        <w:t>Signed in print 03.06.2019y.</w:t>
      </w:r>
      <w:proofErr w:type="gramEnd"/>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A4 size paper</w:t>
      </w:r>
    </w:p>
    <w:p w:rsidR="00DC55A4" w:rsidRPr="00DC55A4" w:rsidRDefault="00DC55A4" w:rsidP="00DC55A4">
      <w:pPr>
        <w:ind w:firstLine="567"/>
        <w:jc w:val="center"/>
        <w:rPr>
          <w:rFonts w:ascii="Times New Roman" w:hAnsi="Times New Roman" w:cs="Times New Roman"/>
          <w:sz w:val="28"/>
          <w:szCs w:val="28"/>
        </w:rPr>
      </w:pPr>
      <w:proofErr w:type="gramStart"/>
      <w:r w:rsidRPr="00DC55A4">
        <w:rPr>
          <w:rFonts w:ascii="Times New Roman" w:hAnsi="Times New Roman" w:cs="Times New Roman"/>
          <w:sz w:val="28"/>
          <w:szCs w:val="28"/>
        </w:rPr>
        <w:t>Typographical paper.</w:t>
      </w:r>
      <w:proofErr w:type="gramEnd"/>
      <w:r w:rsidRPr="00DC55A4">
        <w:rPr>
          <w:rFonts w:ascii="Times New Roman" w:hAnsi="Times New Roman" w:cs="Times New Roman"/>
          <w:sz w:val="28"/>
          <w:szCs w:val="28"/>
        </w:rPr>
        <w:t xml:space="preserve"> </w:t>
      </w:r>
      <w:proofErr w:type="gramStart"/>
      <w:r w:rsidRPr="00DC55A4">
        <w:rPr>
          <w:rFonts w:ascii="Times New Roman" w:hAnsi="Times New Roman" w:cs="Times New Roman"/>
          <w:sz w:val="28"/>
          <w:szCs w:val="28"/>
        </w:rPr>
        <w:t>Offset printing.</w:t>
      </w:r>
      <w:proofErr w:type="gramEnd"/>
    </w:p>
    <w:p w:rsidR="00DC55A4" w:rsidRPr="00DC55A4" w:rsidRDefault="00DC55A4" w:rsidP="00DC55A4">
      <w:pPr>
        <w:ind w:firstLine="567"/>
        <w:jc w:val="center"/>
        <w:rPr>
          <w:rFonts w:ascii="Times New Roman" w:hAnsi="Times New Roman" w:cs="Times New Roman"/>
          <w:sz w:val="28"/>
          <w:szCs w:val="28"/>
        </w:rPr>
      </w:pPr>
      <w:proofErr w:type="gramStart"/>
      <w:r w:rsidRPr="00DC55A4">
        <w:rPr>
          <w:rFonts w:ascii="Times New Roman" w:hAnsi="Times New Roman" w:cs="Times New Roman"/>
          <w:sz w:val="28"/>
          <w:szCs w:val="28"/>
        </w:rPr>
        <w:t>Volume 7.25 pp 500 copies.</w:t>
      </w:r>
      <w:proofErr w:type="gramEnd"/>
    </w:p>
    <w:p w:rsidR="00DC55A4" w:rsidRPr="00DC55A4" w:rsidRDefault="00DC55A4" w:rsidP="00DC55A4">
      <w:pPr>
        <w:ind w:firstLine="567"/>
        <w:jc w:val="center"/>
        <w:rPr>
          <w:rFonts w:ascii="Times New Roman" w:hAnsi="Times New Roman" w:cs="Times New Roman"/>
          <w:sz w:val="28"/>
          <w:szCs w:val="28"/>
        </w:rPr>
      </w:pP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 xml:space="preserve">Typography "Alem" Order number </w:t>
      </w:r>
      <w:r>
        <w:rPr>
          <w:rFonts w:ascii="Times New Roman" w:hAnsi="Times New Roman" w:cs="Times New Roman"/>
          <w:sz w:val="28"/>
          <w:szCs w:val="28"/>
        </w:rPr>
        <w:t>3412</w:t>
      </w:r>
    </w:p>
    <w:p w:rsidR="00DC55A4" w:rsidRPr="00DC55A4" w:rsidRDefault="008872CD" w:rsidP="00DC55A4">
      <w:pPr>
        <w:ind w:firstLine="567"/>
        <w:jc w:val="center"/>
        <w:rPr>
          <w:rFonts w:ascii="Times New Roman" w:hAnsi="Times New Roman" w:cs="Times New Roman"/>
          <w:sz w:val="28"/>
          <w:szCs w:val="28"/>
        </w:rPr>
      </w:pPr>
      <w:r>
        <w:rPr>
          <w:rFonts w:ascii="Times New Roman" w:hAnsi="Times New Roman" w:cs="Times New Roman"/>
          <w:noProof/>
          <w:sz w:val="28"/>
          <w:szCs w:val="28"/>
          <w:lang w:val="ru-RU" w:eastAsia="ru-RU" w:bidi="ar-SA"/>
        </w:rPr>
        <mc:AlternateContent>
          <mc:Choice Requires="wps">
            <w:drawing>
              <wp:anchor distT="0" distB="0" distL="114300" distR="114300" simplePos="0" relativeHeight="251658240" behindDoc="0" locked="0" layoutInCell="1" allowOverlap="1">
                <wp:simplePos x="0" y="0"/>
                <wp:positionH relativeFrom="column">
                  <wp:posOffset>2828925</wp:posOffset>
                </wp:positionH>
                <wp:positionV relativeFrom="paragraph">
                  <wp:posOffset>981075</wp:posOffset>
                </wp:positionV>
                <wp:extent cx="491490" cy="354965"/>
                <wp:effectExtent l="13335" t="13335" r="9525" b="12700"/>
                <wp:wrapNone/>
                <wp:docPr id="6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 cy="35496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22.75pt;margin-top:77.25pt;width:38.7pt;height:2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" strokecolor="white"/>
            </w:pict>
          </mc:Fallback>
        </mc:AlternateContent>
      </w:r>
      <w:r w:rsidR="00DC55A4" w:rsidRPr="00DC55A4">
        <w:rPr>
          <w:rFonts w:ascii="Times New Roman" w:hAnsi="Times New Roman" w:cs="Times New Roman"/>
          <w:sz w:val="28"/>
          <w:szCs w:val="28"/>
        </w:rPr>
        <w:t>Shymkent, ul.G.Ilyaeva 7</w:t>
      </w:r>
    </w:p>
    <w:p w:rsidR="00DC55A4" w:rsidRPr="00DC55A4" w:rsidRDefault="00DC55A4" w:rsidP="00DC55A4">
      <w:pPr>
        <w:tabs>
          <w:tab w:val="left" w:pos="1120"/>
        </w:tabs>
        <w:rPr>
          <w:rFonts w:ascii="Times New Roman" w:hAnsi="Times New Roman" w:cs="Times New Roman"/>
          <w:sz w:val="28"/>
          <w:szCs w:val="28"/>
        </w:rPr>
      </w:pPr>
    </w:p>
    <w:p w:rsidR="00DC55A4" w:rsidRPr="00DC55A4" w:rsidRDefault="00DC55A4" w:rsidP="00DC55A4">
      <w:pPr>
        <w:tabs>
          <w:tab w:val="left" w:pos="1120"/>
        </w:tabs>
        <w:rPr>
          <w:rFonts w:ascii="Times New Roman" w:hAnsi="Times New Roman" w:cs="Times New Roman"/>
          <w:sz w:val="28"/>
          <w:szCs w:val="28"/>
        </w:rPr>
      </w:pPr>
    </w:p>
    <w:sectPr w:rsidR="00DC55A4" w:rsidRPr="00DC55A4">
      <w:headerReference w:type="even" r:id="rId493"/>
      <w:headerReference w:type="default" r:id="rId494"/>
      <w:footerReference w:type="even" r:id="rId495"/>
      <w:headerReference w:type="first" r:id="rId49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4A0E" w:rsidRDefault="009D4A0E">
      <w:r>
        <w:separator/>
      </w:r>
    </w:p>
  </w:endnote>
  <w:endnote w:type="continuationSeparator" w:id="0">
    <w:p w:rsidR="009D4A0E" w:rsidRDefault="009D4A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A115FA" w:rsidP="006834D3">
    <w:pPr>
      <w:pStyle w:val="af"/>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A115FA" w:rsidRDefault="00A115FA">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A115FA" w:rsidP="001915A7">
    <w:pPr>
      <w:pStyle w:val="af"/>
      <w:framePr w:h="1103" w:hRule="exact" w:wrap="around" w:vAnchor="text" w:hAnchor="margin" w:xAlign="center" w:y="-113"/>
      <w:rPr>
        <w:rStyle w:val="af2"/>
      </w:rPr>
    </w:pPr>
    <w:r>
      <w:rPr>
        <w:rStyle w:val="af2"/>
      </w:rPr>
      <w:fldChar w:fldCharType="begin"/>
    </w:r>
    <w:r>
      <w:rPr>
        <w:rStyle w:val="af2"/>
      </w:rPr>
      <w:instrText xml:space="preserve">PAGE  </w:instrText>
    </w:r>
    <w:r>
      <w:rPr>
        <w:rStyle w:val="af2"/>
      </w:rPr>
      <w:fldChar w:fldCharType="separate"/>
    </w:r>
    <w:r w:rsidR="006E7535">
      <w:rPr>
        <w:rStyle w:val="af2"/>
        <w:noProof/>
      </w:rPr>
      <w:t>3</w:t>
    </w:r>
    <w:r>
      <w:rPr>
        <w:rStyle w:val="af2"/>
      </w:rPr>
      <w:fldChar w:fldCharType="end"/>
    </w:r>
  </w:p>
  <w:p w:rsidR="00A115FA" w:rsidRDefault="00A115FA">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4144" behindDoc="1" locked="0" layoutInCell="1" allowOverlap="1" wp14:anchorId="4C6A0F3B" wp14:editId="1BD71FB4">
              <wp:simplePos x="0" y="0"/>
              <wp:positionH relativeFrom="page">
                <wp:posOffset>3722370</wp:posOffset>
              </wp:positionH>
              <wp:positionV relativeFrom="page">
                <wp:posOffset>9151620</wp:posOffset>
              </wp:positionV>
              <wp:extent cx="95885" cy="109220"/>
              <wp:effectExtent l="0" t="0" r="1270" b="0"/>
              <wp:wrapNone/>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006E7535" w:rsidRPr="006E7535">
                            <w:rPr>
                              <w:rStyle w:val="4"/>
                              <w:noProof/>
                            </w:rPr>
                            <w:t>95</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293.1pt;margin-top:720.6pt;width:7.55pt;height:8.6pt;z-index:-2516623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z+NrQIAAKw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" filled="f" stroked="f">
              <v:textbox style="mso-fit-shape-to-text:t" inset="0,0,0,0">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006E7535" w:rsidRPr="006E7535">
                      <w:rPr>
                        <w:rStyle w:val="4"/>
                        <w:noProof/>
                      </w:rPr>
                      <w:t>95</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A115FA">
    <w:pPr>
      <w:rPr>
        <w:rFonts w:cs="Times New Roman"/>
        <w:color w:val="auto"/>
        <w:lang w:eastAsia="ru-RU"/>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61312" behindDoc="1" locked="0" layoutInCell="1" allowOverlap="1">
              <wp:simplePos x="0" y="0"/>
              <wp:positionH relativeFrom="page">
                <wp:posOffset>1767205</wp:posOffset>
              </wp:positionH>
              <wp:positionV relativeFrom="page">
                <wp:posOffset>8797925</wp:posOffset>
              </wp:positionV>
              <wp:extent cx="99060" cy="204470"/>
              <wp:effectExtent l="0" t="0" r="635" b="0"/>
              <wp:wrapNone/>
              <wp:docPr id="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rPr>
                              <w:rStyle w:val="Arial11"/>
                              <w:color w:val="000000"/>
                              <w:lang w:eastAsia="en-US"/>
                            </w:rPr>
                            <w:t>29</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6" type="#_x0000_t202" style="position:absolute;margin-left:139.15pt;margin-top:692.75pt;width:7.8pt;height:16.1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" filled="f" stroked="f">
              <v:textbox style="mso-fit-shape-to-text:t" inset="0,0,0,0">
                <w:txbxContent>
                  <w:p w:rsidR="00A115FA" w:rsidRDefault="00A115FA">
                    <w:pPr>
                      <w:pStyle w:val="11"/>
                      <w:shd w:val="clear" w:color="auto" w:fill="auto"/>
                      <w:spacing w:line="240" w:lineRule="auto"/>
                    </w:pPr>
                    <w:r>
                      <w:rPr>
                        <w:rStyle w:val="Arial11"/>
                        <w:b w:val="0"/>
                        <w:bCs w:val="0"/>
                        <w:color w:val="000000"/>
                        <w:lang w:eastAsia="en-US"/>
                      </w:rPr>
                      <w:t>29</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4A0E" w:rsidRDefault="009D4A0E">
      <w:r>
        <w:separator/>
      </w:r>
    </w:p>
  </w:footnote>
  <w:footnote w:type="continuationSeparator" w:id="0">
    <w:p w:rsidR="009D4A0E" w:rsidRDefault="009D4A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7216" behindDoc="1" locked="0" layoutInCell="1" allowOverlap="1" wp14:anchorId="29EBAFB2" wp14:editId="51C00C3D">
              <wp:simplePos x="0" y="0"/>
              <wp:positionH relativeFrom="page">
                <wp:posOffset>1731645</wp:posOffset>
              </wp:positionH>
              <wp:positionV relativeFrom="page">
                <wp:posOffset>1412240</wp:posOffset>
              </wp:positionV>
              <wp:extent cx="2924175" cy="219075"/>
              <wp:effectExtent l="0" t="2540" r="1905" b="0"/>
              <wp:wrapNone/>
              <wp:docPr id="3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845ED3">
                            <w:rPr>
                              <w:rStyle w:val="a6"/>
                              <w:noProof/>
                              <w:color w:val="000000"/>
                              <w:lang w:val="kk-KZ" w:eastAsia="kk-KZ"/>
                            </w:rPr>
                            <w:t>372</w:t>
                          </w:r>
                          <w:r>
                            <w:fldChar w:fldCharType="end"/>
                          </w:r>
                          <w:r>
                            <w:rPr>
                              <w:rStyle w:val="a6"/>
                              <w:color w:val="000000"/>
                              <w:lang w:val="kk-KZ" w:eastAsia="kk-KZ"/>
                            </w:rPr>
                            <w:t xml:space="preserve"> </w:t>
                          </w:r>
                          <w:r>
                            <w:rPr>
                              <w:rStyle w:val="a6"/>
                              <w:color w:val="000000"/>
                              <w:lang w:eastAsia="en-US"/>
                            </w:rPr>
                            <w:t>WATER AND WASTEWATER TREATMENT TECHNOLOGIES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8" type="#_x0000_t202" style="position:absolute;margin-left:136.35pt;margin-top:111.2pt;width:230.25pt;height:17.25pt;z-index:-2516592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" filled="f" stroked="f">
              <v:textbox style="mso-fit-shape-to-text:t" inset="0,0,0,0">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845ED3">
                      <w:rPr>
                        <w:rStyle w:val="a6"/>
                        <w:noProof/>
                        <w:color w:val="000000"/>
                        <w:lang w:val="kk-KZ" w:eastAsia="kk-KZ"/>
                      </w:rPr>
                      <w:t>372</w:t>
                    </w:r>
                    <w:r>
                      <w:fldChar w:fldCharType="end"/>
                    </w:r>
                    <w:r>
                      <w:rPr>
                        <w:rStyle w:val="a6"/>
                        <w:b w:val="0"/>
                        <w:bCs w:val="0"/>
                        <w:color w:val="000000"/>
                        <w:lang w:val="kk-KZ" w:eastAsia="kk-KZ"/>
                      </w:rPr>
                      <w:t xml:space="preserve"> </w:t>
                    </w:r>
                    <w:r>
                      <w:rPr>
                        <w:rStyle w:val="a6"/>
                        <w:b w:val="0"/>
                        <w:bCs w:val="0"/>
                        <w:color w:val="000000"/>
                        <w:lang w:eastAsia="en-US"/>
                      </w:rPr>
                      <w:t>WATER AND WASTEWATER TREATMENT TECHNOLOGIES</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3120" behindDoc="1" locked="0" layoutInCell="1" allowOverlap="1" wp14:anchorId="4FA2726D" wp14:editId="260C9983">
              <wp:simplePos x="0" y="0"/>
              <wp:positionH relativeFrom="page">
                <wp:posOffset>1731645</wp:posOffset>
              </wp:positionH>
              <wp:positionV relativeFrom="page">
                <wp:posOffset>1412240</wp:posOffset>
              </wp:positionV>
              <wp:extent cx="2924175" cy="219075"/>
              <wp:effectExtent l="0" t="2540" r="1905"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7D03DB">
                            <w:rPr>
                              <w:rStyle w:val="a6"/>
                              <w:noProof/>
                              <w:color w:val="000000"/>
                              <w:lang w:val="kk-KZ" w:eastAsia="kk-KZ"/>
                            </w:rPr>
                            <w:t>334</w:t>
                          </w:r>
                          <w:r>
                            <w:fldChar w:fldCharType="end"/>
                          </w:r>
                          <w:r>
                            <w:rPr>
                              <w:rStyle w:val="a6"/>
                              <w:color w:val="000000"/>
                              <w:lang w:val="kk-KZ" w:eastAsia="kk-KZ"/>
                            </w:rPr>
                            <w:t xml:space="preserve"> </w:t>
                          </w:r>
                          <w:r>
                            <w:rPr>
                              <w:rStyle w:val="a6"/>
                              <w:color w:val="000000"/>
                              <w:lang w:eastAsia="en-US"/>
                            </w:rPr>
                            <w:t>WATER AND WASTEWATER TREATMENT TECHNOLOGIES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136.35pt;margin-top:111.2pt;width:230.25pt;height:17.25pt;z-index:-2516633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" filled="f" stroked="f">
              <v:textbox style="mso-fit-shape-to-text:t" inset="0,0,0,0">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7D03DB">
                      <w:rPr>
                        <w:rStyle w:val="a6"/>
                        <w:noProof/>
                        <w:color w:val="000000"/>
                        <w:lang w:val="kk-KZ" w:eastAsia="kk-KZ"/>
                      </w:rPr>
                      <w:t>334</w:t>
                    </w:r>
                    <w:r>
                      <w:fldChar w:fldCharType="end"/>
                    </w:r>
                    <w:r>
                      <w:rPr>
                        <w:rStyle w:val="a6"/>
                        <w:b w:val="0"/>
                        <w:bCs w:val="0"/>
                        <w:color w:val="000000"/>
                        <w:lang w:val="kk-KZ" w:eastAsia="kk-KZ"/>
                      </w:rPr>
                      <w:t xml:space="preserve"> </w:t>
                    </w:r>
                    <w:r>
                      <w:rPr>
                        <w:rStyle w:val="a6"/>
                        <w:b w:val="0"/>
                        <w:bCs w:val="0"/>
                        <w:color w:val="000000"/>
                        <w:lang w:eastAsia="en-US"/>
                      </w:rPr>
                      <w:t>WATER AND WASTEWATER TREATMENT TECHNOLOGIES</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5168" behindDoc="1" locked="0" layoutInCell="1" allowOverlap="1" wp14:anchorId="26E80AFE" wp14:editId="2EFA7A81">
              <wp:simplePos x="0" y="0"/>
              <wp:positionH relativeFrom="page">
                <wp:posOffset>1731645</wp:posOffset>
              </wp:positionH>
              <wp:positionV relativeFrom="page">
                <wp:posOffset>1412240</wp:posOffset>
              </wp:positionV>
              <wp:extent cx="2924175" cy="219075"/>
              <wp:effectExtent l="0" t="2540" r="1905" b="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7D03DB">
                            <w:rPr>
                              <w:rStyle w:val="a6"/>
                              <w:noProof/>
                              <w:color w:val="000000"/>
                              <w:lang w:val="kk-KZ" w:eastAsia="kk-KZ"/>
                            </w:rPr>
                            <w:t>338</w:t>
                          </w:r>
                          <w:r>
                            <w:fldChar w:fldCharType="end"/>
                          </w:r>
                          <w:r>
                            <w:rPr>
                              <w:rStyle w:val="a6"/>
                              <w:color w:val="000000"/>
                              <w:lang w:val="kk-KZ" w:eastAsia="kk-KZ"/>
                            </w:rPr>
                            <w:t xml:space="preserve"> </w:t>
                          </w:r>
                          <w:r>
                            <w:rPr>
                              <w:rStyle w:val="a6"/>
                              <w:color w:val="000000"/>
                              <w:lang w:eastAsia="en-US"/>
                            </w:rPr>
                            <w:t>WATER AND WASTEWATER TREATMENT TECHNOLOGIES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1" type="#_x0000_t202" style="position:absolute;margin-left:136.35pt;margin-top:111.2pt;width:230.25pt;height:17.25pt;z-index:-2516613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" filled="f" stroked="f">
              <v:textbox style="mso-fit-shape-to-text:t" inset="0,0,0,0">
                <w:txbxContent>
                  <w:p w:rsidR="00A115FA" w:rsidRDefault="00A115FA">
                    <w:pPr>
                      <w:pStyle w:val="11"/>
                      <w:shd w:val="clear" w:color="auto" w:fill="auto"/>
                      <w:spacing w:line="240" w:lineRule="auto"/>
                    </w:pPr>
                    <w:r>
                      <w:fldChar w:fldCharType="begin"/>
                    </w:r>
                    <w:r>
                      <w:instrText xml:space="preserve"> PAGE \* MERGEFORMAT </w:instrText>
                    </w:r>
                    <w:r>
                      <w:fldChar w:fldCharType="separate"/>
                    </w:r>
                    <w:r w:rsidRPr="007D03DB">
                      <w:rPr>
                        <w:rStyle w:val="a6"/>
                        <w:noProof/>
                        <w:color w:val="000000"/>
                        <w:lang w:val="kk-KZ" w:eastAsia="kk-KZ"/>
                      </w:rPr>
                      <w:t>338</w:t>
                    </w:r>
                    <w:r>
                      <w:fldChar w:fldCharType="end"/>
                    </w:r>
                    <w:r>
                      <w:rPr>
                        <w:rStyle w:val="a6"/>
                        <w:b w:val="0"/>
                        <w:bCs w:val="0"/>
                        <w:color w:val="000000"/>
                        <w:lang w:val="kk-KZ" w:eastAsia="kk-KZ"/>
                      </w:rPr>
                      <w:t xml:space="preserve"> </w:t>
                    </w:r>
                    <w:r>
                      <w:rPr>
                        <w:rStyle w:val="a6"/>
                        <w:b w:val="0"/>
                        <w:bCs w:val="0"/>
                        <w:color w:val="000000"/>
                        <w:lang w:eastAsia="en-US"/>
                      </w:rPr>
                      <w:t>WATER AND WASTEWATER TREATMENT TECHNOLOGIES</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A115FA">
    <w:pPr>
      <w:rPr>
        <w:rFonts w:cs="Times New Roman"/>
        <w:color w:val="auto"/>
        <w:lang w:eastAsia="ru-RU"/>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6192" behindDoc="1" locked="0" layoutInCell="1" allowOverlap="1" wp14:anchorId="5A3A8499" wp14:editId="11FDC457">
              <wp:simplePos x="0" y="0"/>
              <wp:positionH relativeFrom="page">
                <wp:posOffset>3277235</wp:posOffset>
              </wp:positionH>
              <wp:positionV relativeFrom="page">
                <wp:posOffset>1437005</wp:posOffset>
              </wp:positionV>
              <wp:extent cx="2193925" cy="219075"/>
              <wp:effectExtent l="635" t="0" r="0" b="1270"/>
              <wp:wrapNone/>
              <wp:docPr id="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392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spacing w:line="240" w:lineRule="auto"/>
                          </w:pPr>
                          <w:r>
                            <w:rPr>
                              <w:rStyle w:val="4"/>
                              <w:color w:val="000000"/>
                              <w:lang w:eastAsia="en-US"/>
                            </w:rPr>
                            <w:t xml:space="preserve">MEMBRANE SEPARATION TECHNOLOGIES </w:t>
                          </w:r>
                          <w:r>
                            <w:fldChar w:fldCharType="begin"/>
                          </w:r>
                          <w:r>
                            <w:instrText xml:space="preserve"> PAGE \* MERGEFORMAT </w:instrText>
                          </w:r>
                          <w:r>
                            <w:fldChar w:fldCharType="separate"/>
                          </w:r>
                          <w:r w:rsidRPr="007D03DB">
                            <w:rPr>
                              <w:rStyle w:val="4"/>
                              <w:noProof/>
                              <w:color w:val="000000"/>
                              <w:lang w:eastAsia="en-US"/>
                            </w:rPr>
                            <w:t>337</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2" type="#_x0000_t202" style="position:absolute;margin-left:258.05pt;margin-top:113.15pt;width:172.75pt;height:17.25pt;z-index:-2516602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" filled="f" stroked="f">
              <v:textbox style="mso-fit-shape-to-text:t" inset="0,0,0,0">
                <w:txbxContent>
                  <w:p w:rsidR="00A115FA" w:rsidRDefault="00A115FA">
                    <w:pPr>
                      <w:pStyle w:val="11"/>
                      <w:shd w:val="clear" w:color="auto" w:fill="auto"/>
                      <w:spacing w:line="240" w:lineRule="auto"/>
                    </w:pPr>
                    <w:r>
                      <w:rPr>
                        <w:rStyle w:val="4"/>
                        <w:b w:val="0"/>
                        <w:bCs w:val="0"/>
                        <w:color w:val="000000"/>
                        <w:lang w:eastAsia="en-US"/>
                      </w:rPr>
                      <w:t xml:space="preserve">MEMBRANE SEPARATION TECHNOLOGIES </w:t>
                    </w:r>
                    <w:r>
                      <w:fldChar w:fldCharType="begin"/>
                    </w:r>
                    <w:r>
                      <w:instrText xml:space="preserve"> PAGE \* MERGEFORMAT </w:instrText>
                    </w:r>
                    <w:r>
                      <w:fldChar w:fldCharType="separate"/>
                    </w:r>
                    <w:r w:rsidRPr="007D03DB">
                      <w:rPr>
                        <w:rStyle w:val="4"/>
                        <w:noProof/>
                        <w:color w:val="000000"/>
                        <w:lang w:eastAsia="en-US"/>
                      </w:rPr>
                      <w:t>337</w:t>
                    </w:r>
                    <w: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58240" behindDoc="1" locked="0" layoutInCell="1" allowOverlap="1">
              <wp:simplePos x="0" y="0"/>
              <wp:positionH relativeFrom="page">
                <wp:posOffset>1005205</wp:posOffset>
              </wp:positionH>
              <wp:positionV relativeFrom="page">
                <wp:posOffset>2473325</wp:posOffset>
              </wp:positionV>
              <wp:extent cx="4455160" cy="325755"/>
              <wp:effectExtent l="0" t="0" r="0" b="1270"/>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5160" cy="325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Pr="006376E4" w:rsidRDefault="00A115FA">
                          <w:pPr>
                            <w:pStyle w:val="11"/>
                            <w:shd w:val="clear" w:color="auto" w:fill="auto"/>
                            <w:spacing w:line="240" w:lineRule="auto"/>
                            <w:rPr>
                              <w:lang w:val="en-US"/>
                            </w:rPr>
                          </w:pPr>
                          <w:r w:rsidRPr="006376E4">
                            <w:rPr>
                              <w:rStyle w:val="a5"/>
                              <w:color w:val="000000"/>
                              <w:lang w:val="en-US" w:eastAsia="en-US"/>
                            </w:rPr>
                            <w:t>T</w:t>
                          </w:r>
                          <w:r w:rsidRPr="006376E4">
                            <w:rPr>
                              <w:rStyle w:val="Arial12"/>
                              <w:color w:val="000000"/>
                              <w:lang w:val="en-US" w:eastAsia="en-US"/>
                            </w:rPr>
                            <w:t xml:space="preserve">able </w:t>
                          </w:r>
                          <w:r w:rsidRPr="006376E4">
                            <w:rPr>
                              <w:rStyle w:val="a5"/>
                              <w:color w:val="000000"/>
                              <w:lang w:val="en-US" w:eastAsia="en-US"/>
                            </w:rPr>
                            <w:t>2.8 Industries that must obtain stormwater NPDES permits (U.S. EPA, 1997).</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33" type="#_x0000_t202" style="position:absolute;margin-left:79.15pt;margin-top:194.75pt;width:350.8pt;height:25.65pt;z-index:-2516582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" filled="f" stroked="f">
              <v:textbox style="mso-fit-shape-to-text:t" inset="0,0,0,0">
                <w:txbxContent>
                  <w:p w:rsidR="00A115FA" w:rsidRDefault="00A115FA">
                    <w:pPr>
                      <w:pStyle w:val="11"/>
                      <w:shd w:val="clear" w:color="auto" w:fill="auto"/>
                      <w:spacing w:line="240" w:lineRule="auto"/>
                    </w:pPr>
                    <w:r>
                      <w:rPr>
                        <w:rStyle w:val="a5"/>
                        <w:b w:val="0"/>
                        <w:bCs w:val="0"/>
                        <w:color w:val="000000"/>
                        <w:lang w:eastAsia="en-US"/>
                      </w:rPr>
                      <w:t>T</w:t>
                    </w:r>
                    <w:r>
                      <w:rPr>
                        <w:rStyle w:val="Arial12"/>
                        <w:b w:val="0"/>
                        <w:bCs w:val="0"/>
                        <w:color w:val="000000"/>
                        <w:lang w:eastAsia="en-US"/>
                      </w:rPr>
                      <w:t xml:space="preserve">able </w:t>
                    </w:r>
                    <w:r>
                      <w:rPr>
                        <w:rStyle w:val="a5"/>
                        <w:b w:val="0"/>
                        <w:bCs w:val="0"/>
                        <w:color w:val="000000"/>
                        <w:lang w:eastAsia="en-US"/>
                      </w:rPr>
                      <w:t>2.8 Industries that must obtain stormwater NPDES permits (U.S. EPA, 1997).</w:t>
                    </w:r>
                  </w:p>
                </w:txbxContent>
              </v:textbox>
              <w10:wrap anchorx="page" anchory="page"/>
            </v:shape>
          </w:pict>
        </mc:Fallback>
      </mc:AlternateContent>
    </w:r>
    <w:r>
      <w:rPr>
        <w:noProof/>
        <w:lang w:val="ru-RU" w:eastAsia="ru-RU" w:bidi="ar-SA"/>
      </w:rPr>
      <mc:AlternateContent>
        <mc:Choice Requires="wps">
          <w:drawing>
            <wp:anchor distT="0" distB="0" distL="63500" distR="63500" simplePos="0" relativeHeight="251659264" behindDoc="1" locked="0" layoutInCell="1" allowOverlap="1">
              <wp:simplePos x="0" y="0"/>
              <wp:positionH relativeFrom="page">
                <wp:posOffset>1005205</wp:posOffset>
              </wp:positionH>
              <wp:positionV relativeFrom="page">
                <wp:posOffset>1814830</wp:posOffset>
              </wp:positionV>
              <wp:extent cx="4324985" cy="162560"/>
              <wp:effectExtent l="0" t="0" r="3810" b="3810"/>
              <wp:wrapNone/>
              <wp:docPr id="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498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Pr="006376E4" w:rsidRDefault="00A115FA">
                          <w:pPr>
                            <w:pStyle w:val="11"/>
                            <w:shd w:val="clear" w:color="auto" w:fill="auto"/>
                            <w:tabs>
                              <w:tab w:val="right" w:pos="2098"/>
                              <w:tab w:val="center" w:pos="2688"/>
                              <w:tab w:val="right" w:pos="4522"/>
                              <w:tab w:val="right" w:pos="5563"/>
                              <w:tab w:val="center" w:pos="5789"/>
                              <w:tab w:val="right" w:pos="6811"/>
                            </w:tabs>
                            <w:spacing w:line="240" w:lineRule="auto"/>
                            <w:rPr>
                              <w:lang w:val="en-US"/>
                            </w:rPr>
                          </w:pPr>
                          <w:r>
                            <w:fldChar w:fldCharType="begin"/>
                          </w:r>
                          <w:r w:rsidRPr="006376E4">
                            <w:rPr>
                              <w:lang w:val="en-US"/>
                            </w:rPr>
                            <w:instrText xml:space="preserve"> PAGE \* MERGEFORMAT </w:instrText>
                          </w:r>
                          <w:r>
                            <w:fldChar w:fldCharType="separate"/>
                          </w:r>
                          <w:r w:rsidRPr="00126531">
                            <w:rPr>
                              <w:rStyle w:val="a5"/>
                              <w:noProof/>
                              <w:color w:val="000000"/>
                              <w:lang w:val="kk-KZ" w:eastAsia="kk-KZ"/>
                            </w:rPr>
                            <w:t>32</w:t>
                          </w:r>
                          <w:r>
                            <w:fldChar w:fldCharType="end"/>
                          </w:r>
                          <w:r>
                            <w:rPr>
                              <w:rStyle w:val="a5"/>
                              <w:color w:val="000000"/>
                              <w:lang w:val="kk-KZ" w:eastAsia="kk-KZ"/>
                            </w:rPr>
                            <w:tab/>
                          </w:r>
                          <w:r w:rsidRPr="006376E4">
                            <w:rPr>
                              <w:rStyle w:val="a5"/>
                              <w:color w:val="000000"/>
                              <w:lang w:val="en-US" w:eastAsia="en-US"/>
                            </w:rPr>
                            <w:t>Industrial</w:t>
                          </w:r>
                          <w:r w:rsidRPr="006376E4">
                            <w:rPr>
                              <w:rStyle w:val="a5"/>
                              <w:color w:val="000000"/>
                              <w:lang w:val="en-US" w:eastAsia="en-US"/>
                            </w:rPr>
                            <w:tab/>
                            <w:t>Wastewater</w:t>
                          </w:r>
                          <w:r w:rsidRPr="006376E4">
                            <w:rPr>
                              <w:rStyle w:val="a5"/>
                              <w:color w:val="000000"/>
                              <w:lang w:val="en-US" w:eastAsia="en-US"/>
                            </w:rPr>
                            <w:tab/>
                            <w:t>Management,</w:t>
                          </w:r>
                          <w:r w:rsidRPr="006376E4">
                            <w:rPr>
                              <w:rStyle w:val="a5"/>
                              <w:color w:val="000000"/>
                              <w:lang w:val="en-US" w:eastAsia="en-US"/>
                            </w:rPr>
                            <w:tab/>
                            <w:t>Treatment,</w:t>
                          </w:r>
                          <w:r w:rsidRPr="006376E4">
                            <w:rPr>
                              <w:rStyle w:val="a5"/>
                              <w:color w:val="000000"/>
                              <w:lang w:val="en-US" w:eastAsia="en-US"/>
                            </w:rPr>
                            <w:tab/>
                            <w:t>and</w:t>
                          </w:r>
                          <w:r w:rsidRPr="006376E4">
                            <w:rPr>
                              <w:rStyle w:val="a5"/>
                              <w:color w:val="000000"/>
                              <w:lang w:val="en-US" w:eastAsia="en-US"/>
                            </w:rPr>
                            <w:tab/>
                            <w:t>Disposal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 o:spid="_x0000_s1034" type="#_x0000_t202" style="position:absolute;margin-left:79.15pt;margin-top:142.9pt;width:340.55pt;height:12.8pt;z-index:-25165721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" filled="f" stroked="f">
              <v:textbox style="mso-fit-shape-to-text:t" inset="0,0,0,0">
                <w:txbxContent>
                  <w:p w:rsidR="00A115FA" w:rsidRDefault="00A115FA">
                    <w:pPr>
                      <w:pStyle w:val="11"/>
                      <w:shd w:val="clear" w:color="auto" w:fill="auto"/>
                      <w:tabs>
                        <w:tab w:val="right" w:pos="2098"/>
                        <w:tab w:val="center" w:pos="2688"/>
                        <w:tab w:val="right" w:pos="4522"/>
                        <w:tab w:val="right" w:pos="5563"/>
                        <w:tab w:val="center" w:pos="5789"/>
                        <w:tab w:val="right" w:pos="6811"/>
                      </w:tabs>
                      <w:spacing w:line="240" w:lineRule="auto"/>
                    </w:pPr>
                    <w:r>
                      <w:fldChar w:fldCharType="begin"/>
                    </w:r>
                    <w:r>
                      <w:instrText xml:space="preserve"> PAGE \* MERGEFORMAT </w:instrText>
                    </w:r>
                    <w:r>
                      <w:fldChar w:fldCharType="separate"/>
                    </w:r>
                    <w:r w:rsidRPr="00126531">
                      <w:rPr>
                        <w:rStyle w:val="a5"/>
                        <w:noProof/>
                        <w:color w:val="000000"/>
                        <w:lang w:val="kk-KZ" w:eastAsia="kk-KZ"/>
                      </w:rPr>
                      <w:t>32</w:t>
                    </w:r>
                    <w:r>
                      <w:fldChar w:fldCharType="end"/>
                    </w:r>
                    <w:r>
                      <w:rPr>
                        <w:rStyle w:val="a5"/>
                        <w:b w:val="0"/>
                        <w:bCs w:val="0"/>
                        <w:color w:val="000000"/>
                        <w:lang w:val="kk-KZ" w:eastAsia="kk-KZ"/>
                      </w:rPr>
                      <w:tab/>
                    </w:r>
                    <w:r>
                      <w:rPr>
                        <w:rStyle w:val="a5"/>
                        <w:b w:val="0"/>
                        <w:bCs w:val="0"/>
                        <w:color w:val="000000"/>
                        <w:lang w:eastAsia="en-US"/>
                      </w:rPr>
                      <w:t>Industrial</w:t>
                    </w:r>
                    <w:r>
                      <w:rPr>
                        <w:rStyle w:val="a5"/>
                        <w:b w:val="0"/>
                        <w:bCs w:val="0"/>
                        <w:color w:val="000000"/>
                        <w:lang w:eastAsia="en-US"/>
                      </w:rPr>
                      <w:tab/>
                      <w:t>Wastewater</w:t>
                    </w:r>
                    <w:r>
                      <w:rPr>
                        <w:rStyle w:val="a5"/>
                        <w:b w:val="0"/>
                        <w:bCs w:val="0"/>
                        <w:color w:val="000000"/>
                        <w:lang w:eastAsia="en-US"/>
                      </w:rPr>
                      <w:tab/>
                      <w:t>Management,</w:t>
                    </w:r>
                    <w:r>
                      <w:rPr>
                        <w:rStyle w:val="a5"/>
                        <w:b w:val="0"/>
                        <w:bCs w:val="0"/>
                        <w:color w:val="000000"/>
                        <w:lang w:eastAsia="en-US"/>
                      </w:rPr>
                      <w:tab/>
                      <w:t>Treatment,</w:t>
                    </w:r>
                    <w:r>
                      <w:rPr>
                        <w:rStyle w:val="a5"/>
                        <w:b w:val="0"/>
                        <w:bCs w:val="0"/>
                        <w:color w:val="000000"/>
                        <w:lang w:eastAsia="en-US"/>
                      </w:rPr>
                      <w:tab/>
                      <w:t>and</w:t>
                    </w:r>
                    <w:r>
                      <w:rPr>
                        <w:rStyle w:val="a5"/>
                        <w:b w:val="0"/>
                        <w:bCs w:val="0"/>
                        <w:color w:val="000000"/>
                        <w:lang w:eastAsia="en-US"/>
                      </w:rPr>
                      <w:tab/>
                      <w:t>Disposal</w:t>
                    </w:r>
                  </w:p>
                </w:txbxContent>
              </v:textbox>
              <w10:wrap anchorx="page" anchory="page"/>
            </v:shape>
          </w:pict>
        </mc:Fallback>
      </mc:AlternateContent>
    </w:r>
    <w:r>
      <w:rPr>
        <w:noProof/>
        <w:lang w:val="ru-RU" w:eastAsia="ru-RU" w:bidi="ar-SA"/>
      </w:rPr>
      <mc:AlternateContent>
        <mc:Choice Requires="wps">
          <w:drawing>
            <wp:anchor distT="0" distB="0" distL="63500" distR="63500" simplePos="0" relativeHeight="251660288" behindDoc="1" locked="0" layoutInCell="1" allowOverlap="1">
              <wp:simplePos x="0" y="0"/>
              <wp:positionH relativeFrom="page">
                <wp:posOffset>1081405</wp:posOffset>
              </wp:positionH>
              <wp:positionV relativeFrom="page">
                <wp:posOffset>2680335</wp:posOffset>
              </wp:positionV>
              <wp:extent cx="3654425" cy="145415"/>
              <wp:effectExtent l="0" t="3810" r="0" b="3175"/>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442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Default="00A115FA">
                          <w:pPr>
                            <w:pStyle w:val="11"/>
                            <w:shd w:val="clear" w:color="auto" w:fill="auto"/>
                            <w:tabs>
                              <w:tab w:val="right" w:pos="5755"/>
                            </w:tabs>
                            <w:spacing w:line="240" w:lineRule="auto"/>
                          </w:pPr>
                          <w:r>
                            <w:rPr>
                              <w:rStyle w:val="84"/>
                              <w:color w:val="000000"/>
                              <w:lang w:eastAsia="en-US"/>
                            </w:rPr>
                            <w:t>Category</w:t>
                          </w:r>
                          <w:r>
                            <w:rPr>
                              <w:rStyle w:val="84"/>
                              <w:color w:val="000000"/>
                              <w:lang w:eastAsia="en-US"/>
                            </w:rPr>
                            <w:tab/>
                            <w:t>Description</w:t>
                          </w:r>
                          <w:r>
                            <w:rPr>
                              <w:rStyle w:val="84"/>
                              <w:color w:val="000000"/>
                              <w:vertAlign w:val="superscript"/>
                              <w:lang w:eastAsia="en-US"/>
                            </w:rPr>
                            <w: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 o:spid="_x0000_s1035" type="#_x0000_t202" style="position:absolute;margin-left:85.15pt;margin-top:211.05pt;width:287.75pt;height:11.45pt;z-index:-25165619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" filled="f" stroked="f">
              <v:textbox style="mso-fit-shape-to-text:t" inset="0,0,0,0">
                <w:txbxContent>
                  <w:p w:rsidR="00A115FA" w:rsidRDefault="00A115FA">
                    <w:pPr>
                      <w:pStyle w:val="11"/>
                      <w:shd w:val="clear" w:color="auto" w:fill="auto"/>
                      <w:tabs>
                        <w:tab w:val="right" w:pos="5755"/>
                      </w:tabs>
                      <w:spacing w:line="240" w:lineRule="auto"/>
                    </w:pPr>
                    <w:r>
                      <w:rPr>
                        <w:rStyle w:val="84"/>
                        <w:b w:val="0"/>
                        <w:bCs w:val="0"/>
                        <w:color w:val="000000"/>
                        <w:lang w:eastAsia="en-US"/>
                      </w:rPr>
                      <w:t>Category</w:t>
                    </w:r>
                    <w:r>
                      <w:rPr>
                        <w:rStyle w:val="84"/>
                        <w:b w:val="0"/>
                        <w:bCs w:val="0"/>
                        <w:color w:val="000000"/>
                        <w:lang w:eastAsia="en-US"/>
                      </w:rPr>
                      <w:tab/>
                      <w:t>Description</w:t>
                    </w:r>
                    <w:r>
                      <w:rPr>
                        <w:rStyle w:val="84"/>
                        <w:b w:val="0"/>
                        <w:bCs w:val="0"/>
                        <w:color w:val="000000"/>
                        <w:vertAlign w:val="superscript"/>
                        <w:lang w:eastAsia="en-US"/>
                      </w:rPr>
                      <w:t>a</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A115FA">
    <w:pPr>
      <w:rPr>
        <w:rFonts w:cs="Times New Roman"/>
        <w:color w:val="auto"/>
        <w:sz w:val="2"/>
        <w:szCs w:val="2"/>
        <w:lang w:eastAsia="ru-RU"/>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5FA" w:rsidRDefault="008872CD">
    <w:pPr>
      <w:rPr>
        <w:rFonts w:cs="Times New Roman"/>
        <w:color w:val="auto"/>
        <w:sz w:val="2"/>
        <w:szCs w:val="2"/>
        <w:lang w:eastAsia="ru-RU"/>
      </w:rPr>
    </w:pPr>
    <w:r>
      <w:rPr>
        <w:noProof/>
        <w:lang w:val="ru-RU" w:eastAsia="ru-RU" w:bidi="ar-SA"/>
      </w:rPr>
      <mc:AlternateContent>
        <mc:Choice Requires="wps">
          <w:drawing>
            <wp:anchor distT="0" distB="0" distL="63500" distR="63500" simplePos="0" relativeHeight="251662336" behindDoc="1" locked="0" layoutInCell="1" allowOverlap="1">
              <wp:simplePos x="0" y="0"/>
              <wp:positionH relativeFrom="page">
                <wp:posOffset>1029970</wp:posOffset>
              </wp:positionH>
              <wp:positionV relativeFrom="page">
                <wp:posOffset>1676400</wp:posOffset>
              </wp:positionV>
              <wp:extent cx="4321810" cy="162560"/>
              <wp:effectExtent l="1270" t="0" r="1270" b="0"/>
              <wp:wrapNone/>
              <wp:docPr id="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1810"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5FA" w:rsidRPr="006376E4" w:rsidRDefault="00A115FA">
                          <w:pPr>
                            <w:pStyle w:val="11"/>
                            <w:shd w:val="clear" w:color="auto" w:fill="auto"/>
                            <w:tabs>
                              <w:tab w:val="left" w:pos="1195"/>
                              <w:tab w:val="right" w:pos="3216"/>
                              <w:tab w:val="right" w:pos="4517"/>
                              <w:tab w:val="right" w:pos="5558"/>
                              <w:tab w:val="right" w:pos="5947"/>
                              <w:tab w:val="right" w:pos="6806"/>
                            </w:tabs>
                            <w:spacing w:line="240" w:lineRule="auto"/>
                            <w:rPr>
                              <w:lang w:val="en-US"/>
                            </w:rPr>
                          </w:pPr>
                          <w:r>
                            <w:fldChar w:fldCharType="begin"/>
                          </w:r>
                          <w:r w:rsidRPr="006376E4">
                            <w:rPr>
                              <w:lang w:val="en-US"/>
                            </w:rPr>
                            <w:instrText xml:space="preserve"> PAGE \* MERGEFORMAT </w:instrText>
                          </w:r>
                          <w:r>
                            <w:fldChar w:fldCharType="separate"/>
                          </w:r>
                          <w:r w:rsidRPr="00C75C4E">
                            <w:rPr>
                              <w:rStyle w:val="a6"/>
                              <w:noProof/>
                              <w:lang w:val="kk-KZ" w:eastAsia="kk-KZ"/>
                            </w:rPr>
                            <w:t>54</w:t>
                          </w:r>
                          <w:r>
                            <w:fldChar w:fldCharType="end"/>
                          </w:r>
                          <w:r>
                            <w:rPr>
                              <w:rStyle w:val="a6"/>
                              <w:color w:val="000000"/>
                              <w:lang w:val="kk-KZ" w:eastAsia="kk-KZ"/>
                            </w:rPr>
                            <w:tab/>
                          </w:r>
                          <w:r w:rsidRPr="006376E4">
                            <w:rPr>
                              <w:rStyle w:val="a6"/>
                              <w:color w:val="000000"/>
                              <w:lang w:val="en-US" w:eastAsia="en-US"/>
                            </w:rPr>
                            <w:t>Industrial</w:t>
                          </w:r>
                          <w:r w:rsidRPr="006376E4">
                            <w:rPr>
                              <w:rStyle w:val="a6"/>
                              <w:color w:val="000000"/>
                              <w:lang w:val="en-US" w:eastAsia="en-US"/>
                            </w:rPr>
                            <w:tab/>
                            <w:t>Wastewater</w:t>
                          </w:r>
                          <w:r w:rsidRPr="006376E4">
                            <w:rPr>
                              <w:rStyle w:val="a6"/>
                              <w:color w:val="000000"/>
                              <w:lang w:val="en-US" w:eastAsia="en-US"/>
                            </w:rPr>
                            <w:tab/>
                            <w:t>Management,</w:t>
                          </w:r>
                          <w:r w:rsidRPr="006376E4">
                            <w:rPr>
                              <w:rStyle w:val="a6"/>
                              <w:color w:val="000000"/>
                              <w:lang w:val="en-US" w:eastAsia="en-US"/>
                            </w:rPr>
                            <w:tab/>
                            <w:t>Treatment,</w:t>
                          </w:r>
                          <w:r w:rsidRPr="006376E4">
                            <w:rPr>
                              <w:rStyle w:val="a6"/>
                              <w:color w:val="000000"/>
                              <w:lang w:val="en-US" w:eastAsia="en-US"/>
                            </w:rPr>
                            <w:tab/>
                            <w:t>and</w:t>
                          </w:r>
                          <w:r w:rsidRPr="006376E4">
                            <w:rPr>
                              <w:rStyle w:val="a6"/>
                              <w:color w:val="000000"/>
                              <w:lang w:val="en-US" w:eastAsia="en-US"/>
                            </w:rPr>
                            <w:tab/>
                            <w:t>Disposal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37" type="#_x0000_t202" style="position:absolute;margin-left:81.1pt;margin-top:132pt;width:340.3pt;height:12.8pt;z-index:-25165414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AWsQIAALE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" filled="f" stroked="f">
              <v:textbox style="mso-fit-shape-to-text:t" inset="0,0,0,0">
                <w:txbxContent>
                  <w:p w:rsidR="00A115FA" w:rsidRDefault="00A115FA">
                    <w:pPr>
                      <w:pStyle w:val="11"/>
                      <w:shd w:val="clear" w:color="auto" w:fill="auto"/>
                      <w:tabs>
                        <w:tab w:val="left" w:pos="1195"/>
                        <w:tab w:val="right" w:pos="3216"/>
                        <w:tab w:val="right" w:pos="4517"/>
                        <w:tab w:val="right" w:pos="5558"/>
                        <w:tab w:val="right" w:pos="5947"/>
                        <w:tab w:val="right" w:pos="6806"/>
                      </w:tabs>
                      <w:spacing w:line="240" w:lineRule="auto"/>
                    </w:pPr>
                    <w:r>
                      <w:fldChar w:fldCharType="begin"/>
                    </w:r>
                    <w:r>
                      <w:instrText xml:space="preserve"> PAGE \* MERGEFORMAT </w:instrText>
                    </w:r>
                    <w:r>
                      <w:fldChar w:fldCharType="separate"/>
                    </w:r>
                    <w:r w:rsidRPr="00C75C4E">
                      <w:rPr>
                        <w:rStyle w:val="a6"/>
                        <w:noProof/>
                        <w:lang w:val="kk-KZ" w:eastAsia="kk-KZ"/>
                      </w:rPr>
                      <w:t>54</w:t>
                    </w:r>
                    <w:r>
                      <w:fldChar w:fldCharType="end"/>
                    </w:r>
                    <w:r>
                      <w:rPr>
                        <w:rStyle w:val="a6"/>
                        <w:b w:val="0"/>
                        <w:bCs w:val="0"/>
                        <w:color w:val="000000"/>
                        <w:lang w:val="kk-KZ" w:eastAsia="kk-KZ"/>
                      </w:rPr>
                      <w:tab/>
                    </w:r>
                    <w:r>
                      <w:rPr>
                        <w:rStyle w:val="a6"/>
                        <w:b w:val="0"/>
                        <w:bCs w:val="0"/>
                        <w:color w:val="000000"/>
                        <w:lang w:eastAsia="en-US"/>
                      </w:rPr>
                      <w:t>Industrial</w:t>
                    </w:r>
                    <w:r>
                      <w:rPr>
                        <w:rStyle w:val="a6"/>
                        <w:b w:val="0"/>
                        <w:bCs w:val="0"/>
                        <w:color w:val="000000"/>
                        <w:lang w:eastAsia="en-US"/>
                      </w:rPr>
                      <w:tab/>
                      <w:t>Wastewater</w:t>
                    </w:r>
                    <w:r>
                      <w:rPr>
                        <w:rStyle w:val="a6"/>
                        <w:b w:val="0"/>
                        <w:bCs w:val="0"/>
                        <w:color w:val="000000"/>
                        <w:lang w:eastAsia="en-US"/>
                      </w:rPr>
                      <w:tab/>
                      <w:t>Management,</w:t>
                    </w:r>
                    <w:r>
                      <w:rPr>
                        <w:rStyle w:val="a6"/>
                        <w:b w:val="0"/>
                        <w:bCs w:val="0"/>
                        <w:color w:val="000000"/>
                        <w:lang w:eastAsia="en-US"/>
                      </w:rPr>
                      <w:tab/>
                      <w:t>Treatment,</w:t>
                    </w:r>
                    <w:r>
                      <w:rPr>
                        <w:rStyle w:val="a6"/>
                        <w:b w:val="0"/>
                        <w:bCs w:val="0"/>
                        <w:color w:val="000000"/>
                        <w:lang w:eastAsia="en-US"/>
                      </w:rPr>
                      <w:tab/>
                      <w:t>and</w:t>
                    </w:r>
                    <w:r>
                      <w:rPr>
                        <w:rStyle w:val="a6"/>
                        <w:b w:val="0"/>
                        <w:bCs w:val="0"/>
                        <w:color w:val="000000"/>
                        <w:lang w:eastAsia="en-US"/>
                      </w:rPr>
                      <w:tab/>
                      <w:t>Disposal</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76D16"/>
    <w:multiLevelType w:val="hybridMultilevel"/>
    <w:tmpl w:val="86C812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2D85034"/>
    <w:multiLevelType w:val="hybridMultilevel"/>
    <w:tmpl w:val="20FA5B1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
    <w:nsid w:val="04573596"/>
    <w:multiLevelType w:val="multilevel"/>
    <w:tmpl w:val="CF104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B7E02AF"/>
    <w:multiLevelType w:val="hybridMultilevel"/>
    <w:tmpl w:val="639025C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
    <w:nsid w:val="0E60203B"/>
    <w:multiLevelType w:val="hybridMultilevel"/>
    <w:tmpl w:val="780AB5F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
    <w:nsid w:val="140D7BF3"/>
    <w:multiLevelType w:val="hybridMultilevel"/>
    <w:tmpl w:val="C85ABBBC"/>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
    <w:nsid w:val="17D902D7"/>
    <w:multiLevelType w:val="hybridMultilevel"/>
    <w:tmpl w:val="5B2E5D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4D4E73"/>
    <w:multiLevelType w:val="hybridMultilevel"/>
    <w:tmpl w:val="968299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B71BC5"/>
    <w:multiLevelType w:val="multilevel"/>
    <w:tmpl w:val="3984E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E292F2D"/>
    <w:multiLevelType w:val="hybridMultilevel"/>
    <w:tmpl w:val="0B421E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EB3716B"/>
    <w:multiLevelType w:val="hybridMultilevel"/>
    <w:tmpl w:val="D4207F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0D126CB"/>
    <w:multiLevelType w:val="multilevel"/>
    <w:tmpl w:val="E99C8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289185D"/>
    <w:multiLevelType w:val="hybridMultilevel"/>
    <w:tmpl w:val="DE2E176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nsid w:val="2351036A"/>
    <w:multiLevelType w:val="hybridMultilevel"/>
    <w:tmpl w:val="3F3ADE6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283B2053"/>
    <w:multiLevelType w:val="hybridMultilevel"/>
    <w:tmpl w:val="95541C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F007C4"/>
    <w:multiLevelType w:val="hybridMultilevel"/>
    <w:tmpl w:val="3EDC0A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A3F6DF7"/>
    <w:multiLevelType w:val="hybridMultilevel"/>
    <w:tmpl w:val="C41261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F13252"/>
    <w:multiLevelType w:val="multilevel"/>
    <w:tmpl w:val="76ECA51E"/>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8">
    <w:nsid w:val="2FC72EA6"/>
    <w:multiLevelType w:val="hybridMultilevel"/>
    <w:tmpl w:val="8836F4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D5331E"/>
    <w:multiLevelType w:val="hybridMultilevel"/>
    <w:tmpl w:val="9E8004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31F714D"/>
    <w:multiLevelType w:val="hybridMultilevel"/>
    <w:tmpl w:val="BFB2AB9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1">
    <w:nsid w:val="33C302CA"/>
    <w:multiLevelType w:val="multilevel"/>
    <w:tmpl w:val="463CF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2D6214"/>
    <w:multiLevelType w:val="hybridMultilevel"/>
    <w:tmpl w:val="EAF208D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363F53A5"/>
    <w:multiLevelType w:val="hybridMultilevel"/>
    <w:tmpl w:val="67F6E93C"/>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4">
    <w:nsid w:val="37E91FFE"/>
    <w:multiLevelType w:val="multilevel"/>
    <w:tmpl w:val="F2984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9DC60F3"/>
    <w:multiLevelType w:val="hybridMultilevel"/>
    <w:tmpl w:val="3ECC99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A0331C8"/>
    <w:multiLevelType w:val="multilevel"/>
    <w:tmpl w:val="0C22E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3FD50887"/>
    <w:multiLevelType w:val="hybridMultilevel"/>
    <w:tmpl w:val="A86CE79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8">
    <w:nsid w:val="3FD80EBA"/>
    <w:multiLevelType w:val="multilevel"/>
    <w:tmpl w:val="69FC4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42B43EE2"/>
    <w:multiLevelType w:val="multilevel"/>
    <w:tmpl w:val="5DBC7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2DE035B"/>
    <w:multiLevelType w:val="hybridMultilevel"/>
    <w:tmpl w:val="BE92617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1">
    <w:nsid w:val="43E616A1"/>
    <w:multiLevelType w:val="hybridMultilevel"/>
    <w:tmpl w:val="B9BE404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1072F75"/>
    <w:multiLevelType w:val="multilevel"/>
    <w:tmpl w:val="C99AA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51295F74"/>
    <w:multiLevelType w:val="multilevel"/>
    <w:tmpl w:val="4B4C1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6E73062"/>
    <w:multiLevelType w:val="multilevel"/>
    <w:tmpl w:val="CF908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58E472D7"/>
    <w:multiLevelType w:val="hybridMultilevel"/>
    <w:tmpl w:val="CF70B0A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6">
    <w:nsid w:val="5CA1672A"/>
    <w:multiLevelType w:val="hybridMultilevel"/>
    <w:tmpl w:val="0BB8DA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8D7A66"/>
    <w:multiLevelType w:val="hybridMultilevel"/>
    <w:tmpl w:val="6486BF6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6B08D7"/>
    <w:multiLevelType w:val="hybridMultilevel"/>
    <w:tmpl w:val="C4FC98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9">
    <w:nsid w:val="62175E34"/>
    <w:multiLevelType w:val="hybridMultilevel"/>
    <w:tmpl w:val="708E95B2"/>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0">
    <w:nsid w:val="63E51C5E"/>
    <w:multiLevelType w:val="hybridMultilevel"/>
    <w:tmpl w:val="E8407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7BA0A22"/>
    <w:multiLevelType w:val="hybridMultilevel"/>
    <w:tmpl w:val="CF2EB0DE"/>
    <w:lvl w:ilvl="0" w:tplc="0419000F">
      <w:start w:val="1"/>
      <w:numFmt w:val="decimal"/>
      <w:lvlText w:val="%1."/>
      <w:lvlJc w:val="left"/>
      <w:pPr>
        <w:tabs>
          <w:tab w:val="num" w:pos="1800"/>
        </w:tabs>
        <w:ind w:left="1800" w:hanging="360"/>
      </w:p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42">
    <w:nsid w:val="6AD530A8"/>
    <w:multiLevelType w:val="hybridMultilevel"/>
    <w:tmpl w:val="90AEEC4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6C4D2615"/>
    <w:multiLevelType w:val="hybridMultilevel"/>
    <w:tmpl w:val="363E363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4">
    <w:nsid w:val="6DD30849"/>
    <w:multiLevelType w:val="hybridMultilevel"/>
    <w:tmpl w:val="F1B8E77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5">
    <w:nsid w:val="6F112D66"/>
    <w:multiLevelType w:val="hybridMultilevel"/>
    <w:tmpl w:val="D07CB2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0524B5B"/>
    <w:multiLevelType w:val="multilevel"/>
    <w:tmpl w:val="27A09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71E6444C"/>
    <w:multiLevelType w:val="hybridMultilevel"/>
    <w:tmpl w:val="D7182F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A902CCF"/>
    <w:multiLevelType w:val="hybridMultilevel"/>
    <w:tmpl w:val="54C8E8F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nsid w:val="7AB3018C"/>
    <w:multiLevelType w:val="hybridMultilevel"/>
    <w:tmpl w:val="136C7E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AE15056"/>
    <w:multiLevelType w:val="hybridMultilevel"/>
    <w:tmpl w:val="8390CC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7D661423"/>
    <w:multiLevelType w:val="hybridMultilevel"/>
    <w:tmpl w:val="61B86F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7D7532E2"/>
    <w:multiLevelType w:val="hybridMultilevel"/>
    <w:tmpl w:val="7F3479B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30"/>
  </w:num>
  <w:num w:numId="2">
    <w:abstractNumId w:val="1"/>
  </w:num>
  <w:num w:numId="3">
    <w:abstractNumId w:val="48"/>
  </w:num>
  <w:num w:numId="4">
    <w:abstractNumId w:val="45"/>
  </w:num>
  <w:num w:numId="5">
    <w:abstractNumId w:val="37"/>
  </w:num>
  <w:num w:numId="6">
    <w:abstractNumId w:val="36"/>
  </w:num>
  <w:num w:numId="7">
    <w:abstractNumId w:val="6"/>
  </w:num>
  <w:num w:numId="8">
    <w:abstractNumId w:val="18"/>
  </w:num>
  <w:num w:numId="9">
    <w:abstractNumId w:val="10"/>
  </w:num>
  <w:num w:numId="10">
    <w:abstractNumId w:val="49"/>
  </w:num>
  <w:num w:numId="11">
    <w:abstractNumId w:val="47"/>
  </w:num>
  <w:num w:numId="12">
    <w:abstractNumId w:val="16"/>
  </w:num>
  <w:num w:numId="13">
    <w:abstractNumId w:val="25"/>
  </w:num>
  <w:num w:numId="14">
    <w:abstractNumId w:val="15"/>
  </w:num>
  <w:num w:numId="15">
    <w:abstractNumId w:val="7"/>
  </w:num>
  <w:num w:numId="16">
    <w:abstractNumId w:val="14"/>
  </w:num>
  <w:num w:numId="17">
    <w:abstractNumId w:val="17"/>
  </w:num>
  <w:num w:numId="18">
    <w:abstractNumId w:val="50"/>
  </w:num>
  <w:num w:numId="19">
    <w:abstractNumId w:val="40"/>
  </w:num>
  <w:num w:numId="20">
    <w:abstractNumId w:val="31"/>
  </w:num>
  <w:num w:numId="21">
    <w:abstractNumId w:val="4"/>
  </w:num>
  <w:num w:numId="22">
    <w:abstractNumId w:val="35"/>
  </w:num>
  <w:num w:numId="23">
    <w:abstractNumId w:val="22"/>
  </w:num>
  <w:num w:numId="24">
    <w:abstractNumId w:val="27"/>
  </w:num>
  <w:num w:numId="25">
    <w:abstractNumId w:val="38"/>
  </w:num>
  <w:num w:numId="26">
    <w:abstractNumId w:val="39"/>
  </w:num>
  <w:num w:numId="27">
    <w:abstractNumId w:val="12"/>
  </w:num>
  <w:num w:numId="28">
    <w:abstractNumId w:val="3"/>
  </w:num>
  <w:num w:numId="29">
    <w:abstractNumId w:val="13"/>
  </w:num>
  <w:num w:numId="30">
    <w:abstractNumId w:val="44"/>
  </w:num>
  <w:num w:numId="31">
    <w:abstractNumId w:val="23"/>
  </w:num>
  <w:num w:numId="32">
    <w:abstractNumId w:val="20"/>
  </w:num>
  <w:num w:numId="33">
    <w:abstractNumId w:val="42"/>
  </w:num>
  <w:num w:numId="34">
    <w:abstractNumId w:val="52"/>
  </w:num>
  <w:num w:numId="35">
    <w:abstractNumId w:val="43"/>
  </w:num>
  <w:num w:numId="36">
    <w:abstractNumId w:val="5"/>
  </w:num>
  <w:num w:numId="37">
    <w:abstractNumId w:val="51"/>
  </w:num>
  <w:num w:numId="38">
    <w:abstractNumId w:val="19"/>
  </w:num>
  <w:num w:numId="39">
    <w:abstractNumId w:val="41"/>
  </w:num>
  <w:num w:numId="40">
    <w:abstractNumId w:val="9"/>
  </w:num>
  <w:num w:numId="41">
    <w:abstractNumId w:val="0"/>
  </w:num>
  <w:num w:numId="42">
    <w:abstractNumId w:val="24"/>
  </w:num>
  <w:num w:numId="43">
    <w:abstractNumId w:val="21"/>
  </w:num>
  <w:num w:numId="44">
    <w:abstractNumId w:val="29"/>
  </w:num>
  <w:num w:numId="45">
    <w:abstractNumId w:val="33"/>
  </w:num>
  <w:num w:numId="46">
    <w:abstractNumId w:val="26"/>
  </w:num>
  <w:num w:numId="47">
    <w:abstractNumId w:val="11"/>
  </w:num>
  <w:num w:numId="48">
    <w:abstractNumId w:val="34"/>
  </w:num>
  <w:num w:numId="49">
    <w:abstractNumId w:val="32"/>
  </w:num>
  <w:num w:numId="50">
    <w:abstractNumId w:val="28"/>
  </w:num>
  <w:num w:numId="51">
    <w:abstractNumId w:val="2"/>
  </w:num>
  <w:num w:numId="52">
    <w:abstractNumId w:val="8"/>
  </w:num>
  <w:num w:numId="53">
    <w:abstractNumId w:val="4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4391"/>
    <w:rsid w:val="00027B5B"/>
    <w:rsid w:val="00045EE1"/>
    <w:rsid w:val="0006638E"/>
    <w:rsid w:val="000676E2"/>
    <w:rsid w:val="000715FB"/>
    <w:rsid w:val="000903FF"/>
    <w:rsid w:val="000C05D1"/>
    <w:rsid w:val="000C75B2"/>
    <w:rsid w:val="000D666F"/>
    <w:rsid w:val="000F39D7"/>
    <w:rsid w:val="000F4ADF"/>
    <w:rsid w:val="00133D11"/>
    <w:rsid w:val="00171562"/>
    <w:rsid w:val="00171D7A"/>
    <w:rsid w:val="00176315"/>
    <w:rsid w:val="001915A7"/>
    <w:rsid w:val="00217A41"/>
    <w:rsid w:val="00217B4C"/>
    <w:rsid w:val="00222C44"/>
    <w:rsid w:val="0024039C"/>
    <w:rsid w:val="00247675"/>
    <w:rsid w:val="00280D60"/>
    <w:rsid w:val="002959B1"/>
    <w:rsid w:val="002E5E3C"/>
    <w:rsid w:val="002F41C1"/>
    <w:rsid w:val="003050A2"/>
    <w:rsid w:val="0032070F"/>
    <w:rsid w:val="003861A4"/>
    <w:rsid w:val="003B6D07"/>
    <w:rsid w:val="003D0F46"/>
    <w:rsid w:val="003E25FC"/>
    <w:rsid w:val="003F7F8A"/>
    <w:rsid w:val="00403DFD"/>
    <w:rsid w:val="0042018E"/>
    <w:rsid w:val="0042550B"/>
    <w:rsid w:val="004765E2"/>
    <w:rsid w:val="004840FB"/>
    <w:rsid w:val="004C0984"/>
    <w:rsid w:val="004D075E"/>
    <w:rsid w:val="004D6B58"/>
    <w:rsid w:val="004E5A3A"/>
    <w:rsid w:val="004F5117"/>
    <w:rsid w:val="00536696"/>
    <w:rsid w:val="00543EE3"/>
    <w:rsid w:val="0058019C"/>
    <w:rsid w:val="005B0AFC"/>
    <w:rsid w:val="005C09C2"/>
    <w:rsid w:val="005E2B57"/>
    <w:rsid w:val="005E3000"/>
    <w:rsid w:val="005E4EC7"/>
    <w:rsid w:val="005E6AEF"/>
    <w:rsid w:val="005F0F2B"/>
    <w:rsid w:val="005F3B88"/>
    <w:rsid w:val="00632ABC"/>
    <w:rsid w:val="006376E4"/>
    <w:rsid w:val="00637C20"/>
    <w:rsid w:val="00645331"/>
    <w:rsid w:val="006834D3"/>
    <w:rsid w:val="00690134"/>
    <w:rsid w:val="006C2DE7"/>
    <w:rsid w:val="006E2879"/>
    <w:rsid w:val="006E7535"/>
    <w:rsid w:val="00726CD3"/>
    <w:rsid w:val="00747EF1"/>
    <w:rsid w:val="007A4452"/>
    <w:rsid w:val="007C1DA2"/>
    <w:rsid w:val="00864C74"/>
    <w:rsid w:val="008855DF"/>
    <w:rsid w:val="008872CD"/>
    <w:rsid w:val="00893B2F"/>
    <w:rsid w:val="008A75AF"/>
    <w:rsid w:val="008B3A59"/>
    <w:rsid w:val="008C0795"/>
    <w:rsid w:val="008C6D04"/>
    <w:rsid w:val="00906B1D"/>
    <w:rsid w:val="009101BA"/>
    <w:rsid w:val="009111C7"/>
    <w:rsid w:val="00925078"/>
    <w:rsid w:val="00925155"/>
    <w:rsid w:val="0096376B"/>
    <w:rsid w:val="0097407B"/>
    <w:rsid w:val="009858BD"/>
    <w:rsid w:val="009A2918"/>
    <w:rsid w:val="009C3EDD"/>
    <w:rsid w:val="009C6833"/>
    <w:rsid w:val="009D4A0E"/>
    <w:rsid w:val="009F19A0"/>
    <w:rsid w:val="00A05E17"/>
    <w:rsid w:val="00A115FA"/>
    <w:rsid w:val="00A11E67"/>
    <w:rsid w:val="00A1302B"/>
    <w:rsid w:val="00A93D21"/>
    <w:rsid w:val="00AA2409"/>
    <w:rsid w:val="00AC4B13"/>
    <w:rsid w:val="00AE38D4"/>
    <w:rsid w:val="00B1126F"/>
    <w:rsid w:val="00B34391"/>
    <w:rsid w:val="00BD0B1D"/>
    <w:rsid w:val="00BE504E"/>
    <w:rsid w:val="00BF12A8"/>
    <w:rsid w:val="00C17187"/>
    <w:rsid w:val="00C63190"/>
    <w:rsid w:val="00C75C4E"/>
    <w:rsid w:val="00CB4DCB"/>
    <w:rsid w:val="00D23ED2"/>
    <w:rsid w:val="00D425E8"/>
    <w:rsid w:val="00D447F5"/>
    <w:rsid w:val="00D558DD"/>
    <w:rsid w:val="00D9321F"/>
    <w:rsid w:val="00DA4D6D"/>
    <w:rsid w:val="00DB1DAE"/>
    <w:rsid w:val="00DC55A4"/>
    <w:rsid w:val="00E06492"/>
    <w:rsid w:val="00E17F8E"/>
    <w:rsid w:val="00E225EC"/>
    <w:rsid w:val="00E74D39"/>
    <w:rsid w:val="00E878A6"/>
    <w:rsid w:val="00ED0B93"/>
    <w:rsid w:val="00EE359C"/>
    <w:rsid w:val="00EF3863"/>
    <w:rsid w:val="00F03B8E"/>
    <w:rsid w:val="00F30481"/>
    <w:rsid w:val="00F50764"/>
    <w:rsid w:val="00FA0559"/>
    <w:rsid w:val="00FD025C"/>
    <w:rsid w:val="00FF3C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321F"/>
    <w:pPr>
      <w:widowControl w:val="0"/>
    </w:pPr>
    <w:rPr>
      <w:rFonts w:ascii="Courier New" w:eastAsia="Courier New" w:hAnsi="Courier New" w:cs="Courier New"/>
      <w:color w:val="000000"/>
      <w:sz w:val="24"/>
      <w:szCs w:val="24"/>
      <w:lang w:val="en-US" w:eastAsia="en-US" w:bidi="he-IL"/>
    </w:rPr>
  </w:style>
  <w:style w:type="paragraph" w:styleId="1">
    <w:name w:val="heading 1"/>
    <w:basedOn w:val="a"/>
    <w:next w:val="a"/>
    <w:link w:val="10"/>
    <w:qFormat/>
    <w:rsid w:val="00B34391"/>
    <w:pPr>
      <w:keepNext/>
      <w:widowControl/>
      <w:spacing w:before="240" w:after="60"/>
      <w:outlineLvl w:val="0"/>
    </w:pPr>
    <w:rPr>
      <w:rFonts w:ascii="Arial" w:eastAsia="Calibri" w:hAnsi="Arial" w:cs="Arial"/>
      <w:b/>
      <w:bCs/>
      <w:color w:val="auto"/>
      <w:kern w:val="32"/>
      <w:sz w:val="32"/>
      <w:szCs w:val="32"/>
      <w:lang w:val="ru-RU" w:eastAsia="ru-RU" w:bidi="ar-SA"/>
    </w:rPr>
  </w:style>
  <w:style w:type="paragraph" w:styleId="2">
    <w:name w:val="heading 2"/>
    <w:basedOn w:val="a"/>
    <w:next w:val="a"/>
    <w:link w:val="20"/>
    <w:qFormat/>
    <w:rsid w:val="000C05D1"/>
    <w:pPr>
      <w:keepNext/>
      <w:spacing w:before="240" w:after="60"/>
      <w:outlineLvl w:val="1"/>
    </w:pPr>
    <w:rPr>
      <w:rFonts w:ascii="Arial" w:hAnsi="Arial" w:cs="Arial"/>
      <w:b/>
      <w:bCs/>
      <w:i/>
      <w:iCs/>
      <w:sz w:val="28"/>
      <w:szCs w:val="28"/>
    </w:rPr>
  </w:style>
  <w:style w:type="paragraph" w:styleId="3">
    <w:name w:val="heading 3"/>
    <w:basedOn w:val="a"/>
    <w:next w:val="a"/>
    <w:qFormat/>
    <w:rsid w:val="000C05D1"/>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34391"/>
    <w:rPr>
      <w:rFonts w:ascii="Arial" w:eastAsia="Calibri" w:hAnsi="Arial" w:cs="Arial"/>
      <w:b/>
      <w:bCs/>
      <w:kern w:val="32"/>
      <w:sz w:val="32"/>
      <w:szCs w:val="32"/>
      <w:lang w:val="ru-RU" w:eastAsia="ru-RU" w:bidi="ar-SA"/>
    </w:rPr>
  </w:style>
  <w:style w:type="character" w:customStyle="1" w:styleId="5">
    <w:name w:val="Основной текст (5)_"/>
    <w:basedOn w:val="a0"/>
    <w:link w:val="51"/>
    <w:rsid w:val="00B34391"/>
    <w:rPr>
      <w:b/>
      <w:bCs/>
      <w:sz w:val="23"/>
      <w:szCs w:val="23"/>
      <w:lang w:bidi="he-IL"/>
    </w:rPr>
  </w:style>
  <w:style w:type="paragraph" w:customStyle="1" w:styleId="51">
    <w:name w:val="Основной текст (5)1"/>
    <w:basedOn w:val="a"/>
    <w:link w:val="5"/>
    <w:rsid w:val="00B34391"/>
    <w:pPr>
      <w:shd w:val="clear" w:color="auto" w:fill="FFFFFF"/>
      <w:spacing w:before="240" w:line="240" w:lineRule="atLeast"/>
    </w:pPr>
    <w:rPr>
      <w:rFonts w:ascii="Times New Roman" w:eastAsia="Times New Roman" w:hAnsi="Times New Roman" w:cs="Times New Roman"/>
      <w:b/>
      <w:bCs/>
      <w:color w:val="auto"/>
      <w:sz w:val="23"/>
      <w:szCs w:val="23"/>
      <w:lang w:val="ru-RU" w:eastAsia="ru-RU"/>
    </w:rPr>
  </w:style>
  <w:style w:type="character" w:customStyle="1" w:styleId="50">
    <w:name w:val="Основной текст (5)"/>
    <w:basedOn w:val="5"/>
    <w:rsid w:val="00B34391"/>
    <w:rPr>
      <w:b/>
      <w:bCs/>
      <w:sz w:val="23"/>
      <w:szCs w:val="23"/>
      <w:lang w:bidi="he-IL"/>
    </w:rPr>
  </w:style>
  <w:style w:type="character" w:customStyle="1" w:styleId="a3">
    <w:name w:val="Основной текст Знак"/>
    <w:basedOn w:val="a0"/>
    <w:link w:val="a4"/>
    <w:rsid w:val="00B34391"/>
    <w:rPr>
      <w:sz w:val="18"/>
      <w:szCs w:val="18"/>
      <w:lang w:bidi="he-IL"/>
    </w:rPr>
  </w:style>
  <w:style w:type="paragraph" w:styleId="a4">
    <w:name w:val="Body Text"/>
    <w:basedOn w:val="a"/>
    <w:link w:val="a3"/>
    <w:rsid w:val="00B34391"/>
    <w:pPr>
      <w:shd w:val="clear" w:color="auto" w:fill="FFFFFF"/>
      <w:spacing w:line="422" w:lineRule="exact"/>
      <w:ind w:hanging="700"/>
    </w:pPr>
    <w:rPr>
      <w:rFonts w:ascii="Times New Roman" w:eastAsia="Times New Roman" w:hAnsi="Times New Roman" w:cs="Times New Roman"/>
      <w:color w:val="auto"/>
      <w:sz w:val="18"/>
      <w:szCs w:val="18"/>
      <w:lang w:val="ru-RU" w:eastAsia="ru-RU"/>
    </w:rPr>
  </w:style>
  <w:style w:type="character" w:customStyle="1" w:styleId="6">
    <w:name w:val="Основной текст (6)_"/>
    <w:basedOn w:val="a0"/>
    <w:link w:val="61"/>
    <w:rsid w:val="00B34391"/>
    <w:rPr>
      <w:b/>
      <w:bCs/>
      <w:spacing w:val="-10"/>
      <w:sz w:val="54"/>
      <w:szCs w:val="54"/>
      <w:lang w:bidi="he-IL"/>
    </w:rPr>
  </w:style>
  <w:style w:type="paragraph" w:customStyle="1" w:styleId="61">
    <w:name w:val="Основной текст (6)1"/>
    <w:basedOn w:val="a"/>
    <w:link w:val="6"/>
    <w:rsid w:val="00B34391"/>
    <w:pPr>
      <w:shd w:val="clear" w:color="auto" w:fill="FFFFFF"/>
      <w:spacing w:after="360" w:line="240" w:lineRule="atLeast"/>
    </w:pPr>
    <w:rPr>
      <w:rFonts w:ascii="Times New Roman" w:eastAsia="Times New Roman" w:hAnsi="Times New Roman" w:cs="Times New Roman"/>
      <w:b/>
      <w:bCs/>
      <w:color w:val="auto"/>
      <w:spacing w:val="-10"/>
      <w:sz w:val="54"/>
      <w:szCs w:val="54"/>
      <w:lang w:val="ru-RU" w:eastAsia="ru-RU"/>
    </w:rPr>
  </w:style>
  <w:style w:type="character" w:customStyle="1" w:styleId="60">
    <w:name w:val="Основной текст (6)"/>
    <w:basedOn w:val="6"/>
    <w:rsid w:val="00B34391"/>
    <w:rPr>
      <w:b/>
      <w:bCs/>
      <w:spacing w:val="-10"/>
      <w:sz w:val="54"/>
      <w:szCs w:val="54"/>
      <w:lang w:bidi="he-IL"/>
    </w:rPr>
  </w:style>
  <w:style w:type="character" w:customStyle="1" w:styleId="a5">
    <w:name w:val="Колонтитул_"/>
    <w:basedOn w:val="a0"/>
    <w:link w:val="11"/>
    <w:rsid w:val="00B34391"/>
    <w:rPr>
      <w:b/>
      <w:bCs/>
      <w:sz w:val="15"/>
      <w:szCs w:val="15"/>
      <w:lang w:bidi="he-IL"/>
    </w:rPr>
  </w:style>
  <w:style w:type="paragraph" w:customStyle="1" w:styleId="11">
    <w:name w:val="Колонтитул1"/>
    <w:basedOn w:val="a"/>
    <w:link w:val="a5"/>
    <w:rsid w:val="00B34391"/>
    <w:pPr>
      <w:shd w:val="clear" w:color="auto" w:fill="FFFFFF"/>
      <w:spacing w:line="240" w:lineRule="atLeast"/>
    </w:pPr>
    <w:rPr>
      <w:rFonts w:ascii="Times New Roman" w:eastAsia="Times New Roman" w:hAnsi="Times New Roman" w:cs="Times New Roman"/>
      <w:b/>
      <w:bCs/>
      <w:color w:val="auto"/>
      <w:sz w:val="15"/>
      <w:szCs w:val="15"/>
      <w:lang w:val="ru-RU" w:eastAsia="ru-RU"/>
    </w:rPr>
  </w:style>
  <w:style w:type="character" w:customStyle="1" w:styleId="a6">
    <w:name w:val="Колонтитул"/>
    <w:basedOn w:val="a5"/>
    <w:rsid w:val="00B34391"/>
    <w:rPr>
      <w:b/>
      <w:bCs/>
      <w:sz w:val="15"/>
      <w:szCs w:val="15"/>
      <w:lang w:bidi="he-IL"/>
    </w:rPr>
  </w:style>
  <w:style w:type="character" w:customStyle="1" w:styleId="12">
    <w:name w:val="Заголовок №1_"/>
    <w:basedOn w:val="a0"/>
    <w:link w:val="110"/>
    <w:rsid w:val="00B34391"/>
    <w:rPr>
      <w:b/>
      <w:bCs/>
      <w:spacing w:val="-10"/>
      <w:sz w:val="36"/>
      <w:szCs w:val="36"/>
      <w:lang w:bidi="he-IL"/>
    </w:rPr>
  </w:style>
  <w:style w:type="paragraph" w:customStyle="1" w:styleId="110">
    <w:name w:val="Заголовок №11"/>
    <w:basedOn w:val="a"/>
    <w:link w:val="12"/>
    <w:rsid w:val="00B34391"/>
    <w:pPr>
      <w:shd w:val="clear" w:color="auto" w:fill="FFFFFF"/>
      <w:spacing w:after="360" w:line="240" w:lineRule="atLeast"/>
      <w:outlineLvl w:val="0"/>
    </w:pPr>
    <w:rPr>
      <w:rFonts w:ascii="Times New Roman" w:eastAsia="Times New Roman" w:hAnsi="Times New Roman" w:cs="Times New Roman"/>
      <w:b/>
      <w:bCs/>
      <w:color w:val="auto"/>
      <w:spacing w:val="-10"/>
      <w:sz w:val="36"/>
      <w:szCs w:val="36"/>
      <w:lang w:val="ru-RU" w:eastAsia="ru-RU"/>
    </w:rPr>
  </w:style>
  <w:style w:type="character" w:customStyle="1" w:styleId="13">
    <w:name w:val="Заголовок №1"/>
    <w:basedOn w:val="12"/>
    <w:rsid w:val="00B34391"/>
    <w:rPr>
      <w:b/>
      <w:bCs/>
      <w:spacing w:val="-10"/>
      <w:sz w:val="36"/>
      <w:szCs w:val="36"/>
      <w:lang w:bidi="he-IL"/>
    </w:rPr>
  </w:style>
  <w:style w:type="character" w:customStyle="1" w:styleId="a7">
    <w:name w:val="Основной текст + Курсив"/>
    <w:basedOn w:val="a3"/>
    <w:rsid w:val="00B34391"/>
    <w:rPr>
      <w:i/>
      <w:iCs/>
      <w:sz w:val="18"/>
      <w:szCs w:val="18"/>
      <w:lang w:bidi="he-IL"/>
    </w:rPr>
  </w:style>
  <w:style w:type="character" w:customStyle="1" w:styleId="8">
    <w:name w:val="Основной текст (8)_"/>
    <w:basedOn w:val="a0"/>
    <w:link w:val="81"/>
    <w:rsid w:val="00B34391"/>
    <w:rPr>
      <w:i/>
      <w:iCs/>
      <w:sz w:val="18"/>
      <w:szCs w:val="18"/>
      <w:lang w:bidi="he-IL"/>
    </w:rPr>
  </w:style>
  <w:style w:type="paragraph" w:customStyle="1" w:styleId="81">
    <w:name w:val="Основной текст (8)1"/>
    <w:basedOn w:val="a"/>
    <w:link w:val="8"/>
    <w:rsid w:val="00B34391"/>
    <w:pPr>
      <w:shd w:val="clear" w:color="auto" w:fill="FFFFFF"/>
      <w:spacing w:before="180" w:after="60" w:line="240" w:lineRule="atLeast"/>
      <w:jc w:val="right"/>
    </w:pPr>
    <w:rPr>
      <w:rFonts w:ascii="Times New Roman" w:eastAsia="Times New Roman" w:hAnsi="Times New Roman" w:cs="Times New Roman"/>
      <w:i/>
      <w:iCs/>
      <w:color w:val="auto"/>
      <w:sz w:val="18"/>
      <w:szCs w:val="18"/>
      <w:lang w:val="ru-RU" w:eastAsia="ru-RU"/>
    </w:rPr>
  </w:style>
  <w:style w:type="character" w:customStyle="1" w:styleId="80">
    <w:name w:val="Основной текст (8)"/>
    <w:basedOn w:val="8"/>
    <w:rsid w:val="00B34391"/>
    <w:rPr>
      <w:i/>
      <w:iCs/>
      <w:sz w:val="18"/>
      <w:szCs w:val="18"/>
      <w:lang w:bidi="he-IL"/>
    </w:rPr>
  </w:style>
  <w:style w:type="character" w:customStyle="1" w:styleId="5Exact1">
    <w:name w:val="Основной текст (5) Exact1"/>
    <w:basedOn w:val="5"/>
    <w:rsid w:val="00B34391"/>
    <w:rPr>
      <w:b/>
      <w:bCs/>
      <w:sz w:val="21"/>
      <w:szCs w:val="21"/>
      <w:u w:val="single"/>
      <w:lang w:bidi="he-IL"/>
    </w:rPr>
  </w:style>
  <w:style w:type="character" w:customStyle="1" w:styleId="30">
    <w:name w:val="Заголовок №3_"/>
    <w:basedOn w:val="a0"/>
    <w:link w:val="31"/>
    <w:rsid w:val="00B34391"/>
    <w:rPr>
      <w:b/>
      <w:bCs/>
      <w:sz w:val="23"/>
      <w:szCs w:val="23"/>
      <w:lang w:bidi="he-IL"/>
    </w:rPr>
  </w:style>
  <w:style w:type="paragraph" w:customStyle="1" w:styleId="31">
    <w:name w:val="Заголовок №31"/>
    <w:basedOn w:val="a"/>
    <w:link w:val="30"/>
    <w:rsid w:val="00B34391"/>
    <w:pPr>
      <w:shd w:val="clear" w:color="auto" w:fill="FFFFFF"/>
      <w:spacing w:before="780" w:after="360" w:line="240" w:lineRule="atLeast"/>
      <w:jc w:val="both"/>
      <w:outlineLvl w:val="2"/>
    </w:pPr>
    <w:rPr>
      <w:rFonts w:ascii="Times New Roman" w:eastAsia="Times New Roman" w:hAnsi="Times New Roman" w:cs="Times New Roman"/>
      <w:b/>
      <w:bCs/>
      <w:color w:val="auto"/>
      <w:sz w:val="23"/>
      <w:szCs w:val="23"/>
      <w:lang w:val="ru-RU" w:eastAsia="ru-RU"/>
    </w:rPr>
  </w:style>
  <w:style w:type="character" w:customStyle="1" w:styleId="32">
    <w:name w:val="Заголовок №3"/>
    <w:basedOn w:val="30"/>
    <w:rsid w:val="00B34391"/>
    <w:rPr>
      <w:b/>
      <w:bCs/>
      <w:sz w:val="23"/>
      <w:szCs w:val="23"/>
      <w:lang w:bidi="he-IL"/>
    </w:rPr>
  </w:style>
  <w:style w:type="character" w:customStyle="1" w:styleId="33">
    <w:name w:val="Заголовок №33"/>
    <w:basedOn w:val="30"/>
    <w:rsid w:val="00B34391"/>
    <w:rPr>
      <w:b/>
      <w:bCs/>
      <w:sz w:val="23"/>
      <w:szCs w:val="23"/>
      <w:u w:val="single"/>
      <w:lang w:bidi="he-IL"/>
    </w:rPr>
  </w:style>
  <w:style w:type="character" w:customStyle="1" w:styleId="a8">
    <w:name w:val="Основной текст + Полужирный"/>
    <w:basedOn w:val="a3"/>
    <w:rsid w:val="00B34391"/>
    <w:rPr>
      <w:b/>
      <w:bCs/>
      <w:sz w:val="18"/>
      <w:szCs w:val="18"/>
      <w:lang w:bidi="he-IL"/>
    </w:rPr>
  </w:style>
  <w:style w:type="character" w:customStyle="1" w:styleId="82">
    <w:name w:val="Основной текст (8) + Полужирный"/>
    <w:aliases w:val="Не курсив"/>
    <w:basedOn w:val="8"/>
    <w:rsid w:val="00B34391"/>
    <w:rPr>
      <w:b/>
      <w:bCs/>
      <w:i/>
      <w:iCs/>
      <w:sz w:val="18"/>
      <w:szCs w:val="18"/>
      <w:lang w:bidi="he-IL"/>
    </w:rPr>
  </w:style>
  <w:style w:type="character" w:customStyle="1" w:styleId="83">
    <w:name w:val="Основной текст (8) + Не курсив"/>
    <w:basedOn w:val="8"/>
    <w:rsid w:val="00B34391"/>
    <w:rPr>
      <w:i/>
      <w:iCs/>
      <w:sz w:val="18"/>
      <w:szCs w:val="18"/>
      <w:lang w:bidi="he-IL"/>
    </w:rPr>
  </w:style>
  <w:style w:type="character" w:customStyle="1" w:styleId="111">
    <w:name w:val="Основной текст (11)_"/>
    <w:basedOn w:val="a0"/>
    <w:link w:val="1110"/>
    <w:rsid w:val="00B34391"/>
    <w:rPr>
      <w:b/>
      <w:bCs/>
      <w:sz w:val="18"/>
      <w:szCs w:val="18"/>
      <w:lang w:bidi="he-IL"/>
    </w:rPr>
  </w:style>
  <w:style w:type="paragraph" w:customStyle="1" w:styleId="1110">
    <w:name w:val="Основной текст (11)1"/>
    <w:basedOn w:val="a"/>
    <w:link w:val="111"/>
    <w:rsid w:val="00B34391"/>
    <w:pPr>
      <w:shd w:val="clear" w:color="auto" w:fill="FFFFFF"/>
      <w:spacing w:line="240" w:lineRule="exact"/>
    </w:pPr>
    <w:rPr>
      <w:rFonts w:ascii="Times New Roman" w:eastAsia="Times New Roman" w:hAnsi="Times New Roman" w:cs="Times New Roman"/>
      <w:b/>
      <w:bCs/>
      <w:color w:val="auto"/>
      <w:sz w:val="18"/>
      <w:szCs w:val="18"/>
      <w:lang w:val="ru-RU" w:eastAsia="ru-RU"/>
    </w:rPr>
  </w:style>
  <w:style w:type="character" w:customStyle="1" w:styleId="112">
    <w:name w:val="Основной текст (11)"/>
    <w:basedOn w:val="111"/>
    <w:rsid w:val="00B34391"/>
    <w:rPr>
      <w:b/>
      <w:bCs/>
      <w:sz w:val="18"/>
      <w:szCs w:val="18"/>
      <w:lang w:bidi="he-IL"/>
    </w:rPr>
  </w:style>
  <w:style w:type="character" w:customStyle="1" w:styleId="113">
    <w:name w:val="Основной текст (11) + Не полужирный"/>
    <w:basedOn w:val="111"/>
    <w:rsid w:val="00B34391"/>
    <w:rPr>
      <w:b/>
      <w:bCs/>
      <w:sz w:val="18"/>
      <w:szCs w:val="18"/>
      <w:lang w:bidi="he-IL"/>
    </w:rPr>
  </w:style>
  <w:style w:type="character" w:customStyle="1" w:styleId="1120">
    <w:name w:val="Основной текст (11) + Не полужирный2"/>
    <w:aliases w:val="Курсив"/>
    <w:basedOn w:val="111"/>
    <w:rsid w:val="00B34391"/>
    <w:rPr>
      <w:b/>
      <w:bCs/>
      <w:i/>
      <w:iCs/>
      <w:sz w:val="18"/>
      <w:szCs w:val="18"/>
      <w:lang w:bidi="he-IL"/>
    </w:rPr>
  </w:style>
  <w:style w:type="character" w:customStyle="1" w:styleId="120">
    <w:name w:val="Основной текст (12)_"/>
    <w:basedOn w:val="a0"/>
    <w:link w:val="121"/>
    <w:rsid w:val="00B34391"/>
    <w:rPr>
      <w:rFonts w:ascii="Franklin Gothic Heavy" w:hAnsi="Franklin Gothic Heavy"/>
      <w:spacing w:val="40"/>
      <w:sz w:val="8"/>
      <w:szCs w:val="8"/>
      <w:lang w:bidi="he-IL"/>
    </w:rPr>
  </w:style>
  <w:style w:type="paragraph" w:customStyle="1" w:styleId="121">
    <w:name w:val="Основной текст (12)1"/>
    <w:basedOn w:val="a"/>
    <w:link w:val="120"/>
    <w:rsid w:val="00B34391"/>
    <w:pPr>
      <w:shd w:val="clear" w:color="auto" w:fill="FFFFFF"/>
      <w:spacing w:after="540" w:line="139" w:lineRule="exact"/>
      <w:ind w:firstLine="4860"/>
    </w:pPr>
    <w:rPr>
      <w:rFonts w:ascii="Franklin Gothic Heavy" w:eastAsia="Times New Roman" w:hAnsi="Franklin Gothic Heavy" w:cs="Times New Roman"/>
      <w:color w:val="auto"/>
      <w:spacing w:val="40"/>
      <w:sz w:val="8"/>
      <w:szCs w:val="8"/>
      <w:lang w:val="ru-RU" w:eastAsia="ru-RU"/>
    </w:rPr>
  </w:style>
  <w:style w:type="character" w:customStyle="1" w:styleId="122">
    <w:name w:val="Основной текст (12)2"/>
    <w:basedOn w:val="120"/>
    <w:rsid w:val="00B34391"/>
    <w:rPr>
      <w:rFonts w:ascii="Franklin Gothic Heavy" w:hAnsi="Franklin Gothic Heavy"/>
      <w:spacing w:val="40"/>
      <w:sz w:val="8"/>
      <w:szCs w:val="8"/>
      <w:lang w:bidi="he-IL"/>
    </w:rPr>
  </w:style>
  <w:style w:type="character" w:customStyle="1" w:styleId="a9">
    <w:name w:val="Подпись к таблице_"/>
    <w:basedOn w:val="a0"/>
    <w:link w:val="14"/>
    <w:rsid w:val="00B34391"/>
    <w:rPr>
      <w:sz w:val="18"/>
      <w:szCs w:val="18"/>
      <w:lang w:bidi="he-IL"/>
    </w:rPr>
  </w:style>
  <w:style w:type="paragraph" w:customStyle="1" w:styleId="14">
    <w:name w:val="Подпись к таблице1"/>
    <w:basedOn w:val="a"/>
    <w:link w:val="a9"/>
    <w:rsid w:val="00B34391"/>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52">
    <w:name w:val="Подпись к таблице5"/>
    <w:basedOn w:val="a9"/>
    <w:rsid w:val="00B34391"/>
    <w:rPr>
      <w:sz w:val="18"/>
      <w:szCs w:val="18"/>
      <w:u w:val="single"/>
      <w:lang w:bidi="he-IL"/>
    </w:rPr>
  </w:style>
  <w:style w:type="character" w:customStyle="1" w:styleId="200">
    <w:name w:val="Основной текст + Курсив20"/>
    <w:basedOn w:val="a3"/>
    <w:rsid w:val="00B34391"/>
    <w:rPr>
      <w:i/>
      <w:iCs/>
      <w:sz w:val="18"/>
      <w:szCs w:val="18"/>
      <w:lang w:bidi="he-IL"/>
    </w:rPr>
  </w:style>
  <w:style w:type="character" w:customStyle="1" w:styleId="320">
    <w:name w:val="Заголовок №32"/>
    <w:basedOn w:val="30"/>
    <w:rsid w:val="00B34391"/>
    <w:rPr>
      <w:b/>
      <w:bCs/>
      <w:sz w:val="23"/>
      <w:szCs w:val="23"/>
      <w:lang w:bidi="he-IL"/>
    </w:rPr>
  </w:style>
  <w:style w:type="character" w:customStyle="1" w:styleId="88">
    <w:name w:val="Основной текст (8)8"/>
    <w:basedOn w:val="8"/>
    <w:rsid w:val="00B34391"/>
    <w:rPr>
      <w:i/>
      <w:iCs/>
      <w:sz w:val="18"/>
      <w:szCs w:val="18"/>
      <w:lang w:bidi="he-IL"/>
    </w:rPr>
  </w:style>
  <w:style w:type="character" w:customStyle="1" w:styleId="85">
    <w:name w:val="Основной текст (8) + Не курсив5"/>
    <w:basedOn w:val="8"/>
    <w:rsid w:val="00B34391"/>
    <w:rPr>
      <w:i/>
      <w:iCs/>
      <w:sz w:val="18"/>
      <w:szCs w:val="18"/>
      <w:lang w:bidi="he-IL"/>
    </w:rPr>
  </w:style>
  <w:style w:type="character" w:customStyle="1" w:styleId="-1pt">
    <w:name w:val="Основной текст + Интервал -1 pt"/>
    <w:basedOn w:val="a3"/>
    <w:rsid w:val="00B34391"/>
    <w:rPr>
      <w:spacing w:val="-30"/>
      <w:sz w:val="18"/>
      <w:szCs w:val="18"/>
      <w:lang w:bidi="he-IL"/>
    </w:rPr>
  </w:style>
  <w:style w:type="paragraph" w:styleId="aa">
    <w:name w:val="Body Text Indent"/>
    <w:basedOn w:val="a"/>
    <w:link w:val="ab"/>
    <w:rsid w:val="00B34391"/>
    <w:pPr>
      <w:spacing w:after="120"/>
      <w:ind w:left="283"/>
    </w:pPr>
  </w:style>
  <w:style w:type="character" w:customStyle="1" w:styleId="ab">
    <w:name w:val="Основной текст с отступом Знак"/>
    <w:basedOn w:val="a0"/>
    <w:link w:val="aa"/>
    <w:rsid w:val="00B34391"/>
    <w:rPr>
      <w:rFonts w:ascii="Courier New" w:eastAsia="Courier New" w:hAnsi="Courier New" w:cs="Courier New"/>
      <w:color w:val="000000"/>
      <w:sz w:val="24"/>
      <w:szCs w:val="24"/>
      <w:lang w:val="en-US" w:eastAsia="en-US" w:bidi="he-IL"/>
    </w:rPr>
  </w:style>
  <w:style w:type="character" w:styleId="ac">
    <w:name w:val="Hyperlink"/>
    <w:basedOn w:val="a0"/>
    <w:rsid w:val="00B34391"/>
    <w:rPr>
      <w:color w:val="0000FF"/>
      <w:u w:val="single"/>
    </w:rPr>
  </w:style>
  <w:style w:type="character" w:customStyle="1" w:styleId="ad">
    <w:name w:val="Подпись к картинке_"/>
    <w:basedOn w:val="a0"/>
    <w:link w:val="15"/>
    <w:rsid w:val="005F0F2B"/>
    <w:rPr>
      <w:sz w:val="18"/>
      <w:szCs w:val="18"/>
      <w:lang w:bidi="he-IL"/>
    </w:rPr>
  </w:style>
  <w:style w:type="paragraph" w:customStyle="1" w:styleId="15">
    <w:name w:val="Подпись к картинке1"/>
    <w:basedOn w:val="a"/>
    <w:link w:val="ad"/>
    <w:rsid w:val="005F0F2B"/>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ae">
    <w:name w:val="Подпись к картинке"/>
    <w:basedOn w:val="ad"/>
    <w:rsid w:val="005F0F2B"/>
    <w:rPr>
      <w:sz w:val="18"/>
      <w:szCs w:val="18"/>
      <w:lang w:bidi="he-IL"/>
    </w:rPr>
  </w:style>
  <w:style w:type="character" w:customStyle="1" w:styleId="4">
    <w:name w:val="Колонтитул4"/>
    <w:basedOn w:val="a5"/>
    <w:rsid w:val="005F0F2B"/>
    <w:rPr>
      <w:b/>
      <w:bCs/>
      <w:sz w:val="15"/>
      <w:szCs w:val="15"/>
      <w:lang w:bidi="he-IL"/>
    </w:rPr>
  </w:style>
  <w:style w:type="character" w:customStyle="1" w:styleId="300">
    <w:name w:val="Подпись к картинке (30)_"/>
    <w:basedOn w:val="a0"/>
    <w:link w:val="301"/>
    <w:rsid w:val="005F0F2B"/>
    <w:rPr>
      <w:rFonts w:ascii="Trebuchet MS" w:hAnsi="Trebuchet MS"/>
      <w:b/>
      <w:bCs/>
      <w:spacing w:val="20"/>
      <w:sz w:val="12"/>
      <w:szCs w:val="12"/>
      <w:lang w:bidi="he-IL"/>
    </w:rPr>
  </w:style>
  <w:style w:type="paragraph" w:customStyle="1" w:styleId="301">
    <w:name w:val="Подпись к картинке (30)1"/>
    <w:basedOn w:val="a"/>
    <w:link w:val="300"/>
    <w:rsid w:val="005F0F2B"/>
    <w:pPr>
      <w:shd w:val="clear" w:color="auto" w:fill="FFFFFF"/>
      <w:spacing w:before="60" w:line="240" w:lineRule="atLeast"/>
    </w:pPr>
    <w:rPr>
      <w:rFonts w:ascii="Trebuchet MS" w:eastAsia="Times New Roman" w:hAnsi="Trebuchet MS" w:cs="Times New Roman"/>
      <w:b/>
      <w:bCs/>
      <w:color w:val="auto"/>
      <w:spacing w:val="20"/>
      <w:sz w:val="12"/>
      <w:szCs w:val="12"/>
      <w:lang w:val="ru-RU" w:eastAsia="ru-RU"/>
    </w:rPr>
  </w:style>
  <w:style w:type="character" w:customStyle="1" w:styleId="300pt">
    <w:name w:val="Подпись к картинке (30) + Интервал 0 pt"/>
    <w:basedOn w:val="300"/>
    <w:rsid w:val="005F0F2B"/>
    <w:rPr>
      <w:rFonts w:ascii="Trebuchet MS" w:hAnsi="Trebuchet MS"/>
      <w:b/>
      <w:bCs/>
      <w:spacing w:val="0"/>
      <w:sz w:val="12"/>
      <w:szCs w:val="12"/>
      <w:lang w:bidi="he-IL"/>
    </w:rPr>
  </w:style>
  <w:style w:type="character" w:customStyle="1" w:styleId="310">
    <w:name w:val="Подпись к картинке (31)_"/>
    <w:basedOn w:val="a0"/>
    <w:link w:val="311"/>
    <w:rsid w:val="005F0F2B"/>
    <w:rPr>
      <w:rFonts w:ascii="Trebuchet MS" w:hAnsi="Trebuchet MS"/>
      <w:sz w:val="9"/>
      <w:szCs w:val="9"/>
      <w:lang w:bidi="he-IL"/>
    </w:rPr>
  </w:style>
  <w:style w:type="paragraph" w:customStyle="1" w:styleId="311">
    <w:name w:val="Подпись к картинке (31)1"/>
    <w:basedOn w:val="a"/>
    <w:link w:val="310"/>
    <w:rsid w:val="005F0F2B"/>
    <w:pPr>
      <w:shd w:val="clear" w:color="auto" w:fill="FFFFFF"/>
      <w:spacing w:line="144" w:lineRule="exact"/>
      <w:jc w:val="both"/>
    </w:pPr>
    <w:rPr>
      <w:rFonts w:ascii="Trebuchet MS" w:eastAsia="Times New Roman" w:hAnsi="Trebuchet MS" w:cs="Times New Roman"/>
      <w:color w:val="auto"/>
      <w:sz w:val="9"/>
      <w:szCs w:val="9"/>
      <w:lang w:val="ru-RU" w:eastAsia="ru-RU"/>
    </w:rPr>
  </w:style>
  <w:style w:type="character" w:customStyle="1" w:styleId="312">
    <w:name w:val="Подпись к картинке (31)"/>
    <w:basedOn w:val="310"/>
    <w:rsid w:val="005F0F2B"/>
    <w:rPr>
      <w:rFonts w:ascii="Trebuchet MS" w:hAnsi="Trebuchet MS"/>
      <w:sz w:val="9"/>
      <w:szCs w:val="9"/>
      <w:lang w:bidi="he-IL"/>
    </w:rPr>
  </w:style>
  <w:style w:type="paragraph" w:styleId="af">
    <w:name w:val="footer"/>
    <w:basedOn w:val="a"/>
    <w:rsid w:val="003B6D07"/>
    <w:pPr>
      <w:tabs>
        <w:tab w:val="center" w:pos="4677"/>
        <w:tab w:val="right" w:pos="9355"/>
      </w:tabs>
    </w:pPr>
  </w:style>
  <w:style w:type="paragraph" w:styleId="af0">
    <w:name w:val="header"/>
    <w:basedOn w:val="a"/>
    <w:rsid w:val="003B6D07"/>
    <w:pPr>
      <w:tabs>
        <w:tab w:val="center" w:pos="4677"/>
        <w:tab w:val="right" w:pos="9355"/>
      </w:tabs>
    </w:pPr>
  </w:style>
  <w:style w:type="character" w:customStyle="1" w:styleId="Arial12">
    <w:name w:val="Колонтитул + Arial12"/>
    <w:aliases w:val="7 pt18,Не полужирный92,Малые прописные"/>
    <w:basedOn w:val="a5"/>
    <w:rsid w:val="004765E2"/>
    <w:rPr>
      <w:rFonts w:ascii="Arial" w:hAnsi="Arial" w:cs="Arial"/>
      <w:b/>
      <w:bCs/>
      <w:smallCaps/>
      <w:sz w:val="14"/>
      <w:szCs w:val="14"/>
      <w:lang w:bidi="he-IL"/>
    </w:rPr>
  </w:style>
  <w:style w:type="character" w:customStyle="1" w:styleId="84">
    <w:name w:val="Колонтитул + 8"/>
    <w:aliases w:val="5 pt119"/>
    <w:basedOn w:val="a5"/>
    <w:rsid w:val="004765E2"/>
    <w:rPr>
      <w:rFonts w:ascii="Palatino Linotype" w:hAnsi="Palatino Linotype"/>
      <w:b/>
      <w:bCs/>
      <w:sz w:val="17"/>
      <w:szCs w:val="17"/>
      <w:lang w:bidi="he-IL"/>
    </w:rPr>
  </w:style>
  <w:style w:type="character" w:customStyle="1" w:styleId="Arial11">
    <w:name w:val="Колонтитул + Arial11"/>
    <w:aliases w:val="7 pt17,Не полужирный91"/>
    <w:basedOn w:val="a5"/>
    <w:rsid w:val="004765E2"/>
    <w:rPr>
      <w:rFonts w:ascii="Arial" w:hAnsi="Arial" w:cs="Arial"/>
      <w:b/>
      <w:bCs/>
      <w:sz w:val="14"/>
      <w:szCs w:val="14"/>
      <w:lang w:bidi="he-IL"/>
    </w:rPr>
  </w:style>
  <w:style w:type="paragraph" w:styleId="af1">
    <w:name w:val="List Paragraph"/>
    <w:basedOn w:val="a"/>
    <w:uiPriority w:val="34"/>
    <w:qFormat/>
    <w:rsid w:val="0006638E"/>
    <w:pPr>
      <w:ind w:left="720"/>
      <w:contextualSpacing/>
    </w:pPr>
  </w:style>
  <w:style w:type="character" w:customStyle="1" w:styleId="53">
    <w:name w:val="Основной текст (5)3"/>
    <w:basedOn w:val="5"/>
    <w:rsid w:val="005C09C2"/>
    <w:rPr>
      <w:rFonts w:ascii="Times New Roman" w:hAnsi="Times New Roman" w:cs="Times New Roman"/>
      <w:b/>
      <w:bCs/>
      <w:sz w:val="23"/>
      <w:szCs w:val="23"/>
      <w:shd w:val="clear" w:color="auto" w:fill="FFFFFF"/>
      <w:lang w:bidi="he-IL"/>
    </w:rPr>
  </w:style>
  <w:style w:type="character" w:styleId="af2">
    <w:name w:val="page number"/>
    <w:basedOn w:val="a0"/>
    <w:rsid w:val="006834D3"/>
  </w:style>
  <w:style w:type="character" w:customStyle="1" w:styleId="9">
    <w:name w:val="Основной текст (9)"/>
    <w:basedOn w:val="a0"/>
    <w:rsid w:val="009C3EDD"/>
    <w:rPr>
      <w:rFonts w:ascii="Palatino Linotype" w:hAnsi="Palatino Linotype"/>
      <w:b/>
      <w:bCs/>
      <w:spacing w:val="-10"/>
      <w:sz w:val="48"/>
      <w:szCs w:val="48"/>
      <w:lang w:bidi="he-IL"/>
    </w:rPr>
  </w:style>
  <w:style w:type="character" w:customStyle="1" w:styleId="34">
    <w:name w:val="Основной текст + Курсив3"/>
    <w:basedOn w:val="a0"/>
    <w:rsid w:val="00BF12A8"/>
    <w:rPr>
      <w:rFonts w:ascii="Times New Roman" w:hAnsi="Times New Roman" w:cs="Times New Roman"/>
      <w:i/>
      <w:iCs/>
      <w:sz w:val="18"/>
      <w:szCs w:val="18"/>
      <w:u w:val="none"/>
    </w:rPr>
  </w:style>
  <w:style w:type="character" w:customStyle="1" w:styleId="100">
    <w:name w:val="Заголовок №10_"/>
    <w:basedOn w:val="a0"/>
    <w:link w:val="101"/>
    <w:rsid w:val="00BF12A8"/>
    <w:rPr>
      <w:sz w:val="18"/>
      <w:szCs w:val="18"/>
      <w:lang w:bidi="he-IL"/>
    </w:rPr>
  </w:style>
  <w:style w:type="paragraph" w:customStyle="1" w:styleId="101">
    <w:name w:val="Заголовок №101"/>
    <w:basedOn w:val="a"/>
    <w:link w:val="100"/>
    <w:rsid w:val="00BF12A8"/>
    <w:pPr>
      <w:shd w:val="clear" w:color="auto" w:fill="FFFFFF"/>
      <w:spacing w:before="720" w:after="420" w:line="240" w:lineRule="atLeast"/>
      <w:jc w:val="both"/>
    </w:pPr>
    <w:rPr>
      <w:rFonts w:ascii="Times New Roman" w:eastAsia="Times New Roman" w:hAnsi="Times New Roman" w:cs="Times New Roman"/>
      <w:color w:val="auto"/>
      <w:sz w:val="18"/>
      <w:szCs w:val="18"/>
      <w:lang w:val="ru-RU" w:eastAsia="ru-RU"/>
    </w:rPr>
  </w:style>
  <w:style w:type="character" w:customStyle="1" w:styleId="102">
    <w:name w:val="Заголовок №10"/>
    <w:basedOn w:val="100"/>
    <w:rsid w:val="00BF12A8"/>
    <w:rPr>
      <w:sz w:val="18"/>
      <w:szCs w:val="18"/>
      <w:lang w:bidi="he-IL"/>
    </w:rPr>
  </w:style>
  <w:style w:type="character" w:customStyle="1" w:styleId="8pt1">
    <w:name w:val="Основной текст + 8 pt1"/>
    <w:aliases w:val="Полужирный4"/>
    <w:basedOn w:val="a0"/>
    <w:rsid w:val="00BF12A8"/>
    <w:rPr>
      <w:rFonts w:ascii="Times New Roman" w:hAnsi="Times New Roman" w:cs="Times New Roman"/>
      <w:b/>
      <w:bCs/>
      <w:sz w:val="16"/>
      <w:szCs w:val="16"/>
      <w:u w:val="none"/>
    </w:rPr>
  </w:style>
  <w:style w:type="character" w:customStyle="1" w:styleId="1130">
    <w:name w:val="Основной текст (11)3"/>
    <w:basedOn w:val="111"/>
    <w:rsid w:val="00BF12A8"/>
    <w:rPr>
      <w:rFonts w:ascii="Times New Roman" w:hAnsi="Times New Roman" w:cs="Times New Roman"/>
      <w:b w:val="0"/>
      <w:bCs w:val="0"/>
      <w:sz w:val="18"/>
      <w:szCs w:val="18"/>
      <w:u w:val="none"/>
      <w:lang w:bidi="he-IL"/>
    </w:rPr>
  </w:style>
  <w:style w:type="character" w:customStyle="1" w:styleId="21">
    <w:name w:val="Основной текст + Курсив2"/>
    <w:basedOn w:val="a0"/>
    <w:rsid w:val="00BF12A8"/>
    <w:rPr>
      <w:rFonts w:ascii="Times New Roman" w:hAnsi="Times New Roman" w:cs="Times New Roman"/>
      <w:i/>
      <w:iCs/>
      <w:sz w:val="18"/>
      <w:szCs w:val="18"/>
      <w:u w:val="none"/>
    </w:rPr>
  </w:style>
  <w:style w:type="character" w:customStyle="1" w:styleId="86">
    <w:name w:val="Заголовок №8_"/>
    <w:basedOn w:val="a0"/>
    <w:link w:val="810"/>
    <w:rsid w:val="00E225EC"/>
    <w:rPr>
      <w:b/>
      <w:bCs/>
      <w:sz w:val="23"/>
      <w:szCs w:val="23"/>
      <w:lang w:bidi="he-IL"/>
    </w:rPr>
  </w:style>
  <w:style w:type="paragraph" w:customStyle="1" w:styleId="810">
    <w:name w:val="Заголовок №81"/>
    <w:basedOn w:val="a"/>
    <w:link w:val="86"/>
    <w:rsid w:val="00E225EC"/>
    <w:pPr>
      <w:shd w:val="clear" w:color="auto" w:fill="FFFFFF"/>
      <w:spacing w:before="120" w:after="300" w:line="240" w:lineRule="atLeast"/>
      <w:ind w:hanging="320"/>
      <w:jc w:val="both"/>
      <w:outlineLvl w:val="7"/>
    </w:pPr>
    <w:rPr>
      <w:rFonts w:ascii="Times New Roman" w:eastAsia="Times New Roman" w:hAnsi="Times New Roman" w:cs="Times New Roman"/>
      <w:b/>
      <w:bCs/>
      <w:color w:val="auto"/>
      <w:sz w:val="23"/>
      <w:szCs w:val="23"/>
      <w:lang w:val="ru-RU" w:eastAsia="ru-RU"/>
    </w:rPr>
  </w:style>
  <w:style w:type="character" w:customStyle="1" w:styleId="114">
    <w:name w:val="Основной текст (11)4"/>
    <w:basedOn w:val="111"/>
    <w:rsid w:val="00E225EC"/>
    <w:rPr>
      <w:rFonts w:ascii="Times New Roman" w:hAnsi="Times New Roman" w:cs="Times New Roman"/>
      <w:b w:val="0"/>
      <w:bCs w:val="0"/>
      <w:sz w:val="18"/>
      <w:szCs w:val="18"/>
      <w:u w:val="none"/>
      <w:lang w:bidi="he-IL"/>
    </w:rPr>
  </w:style>
  <w:style w:type="character" w:customStyle="1" w:styleId="820">
    <w:name w:val="Заголовок №82"/>
    <w:basedOn w:val="86"/>
    <w:rsid w:val="00E225EC"/>
    <w:rPr>
      <w:b/>
      <w:bCs/>
      <w:sz w:val="23"/>
      <w:szCs w:val="23"/>
      <w:lang w:bidi="he-IL"/>
    </w:rPr>
  </w:style>
  <w:style w:type="paragraph" w:customStyle="1" w:styleId="pp-first">
    <w:name w:val="p p-fir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styleId="af3">
    <w:name w:val="Normal (Web)"/>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last">
    <w:name w:val="p p-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first-last">
    <w:name w:val="p p-first-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character" w:styleId="af4">
    <w:name w:val="Emphasis"/>
    <w:basedOn w:val="a0"/>
    <w:qFormat/>
    <w:rsid w:val="000C05D1"/>
    <w:rPr>
      <w:i/>
      <w:iCs/>
    </w:rPr>
  </w:style>
  <w:style w:type="character" w:customStyle="1" w:styleId="element-citation">
    <w:name w:val="element-citation"/>
    <w:basedOn w:val="a0"/>
    <w:rsid w:val="000C05D1"/>
  </w:style>
  <w:style w:type="character" w:customStyle="1" w:styleId="ref-journal">
    <w:name w:val="ref-journal"/>
    <w:basedOn w:val="a0"/>
    <w:rsid w:val="000C05D1"/>
  </w:style>
  <w:style w:type="character" w:customStyle="1" w:styleId="ref-vol">
    <w:name w:val="ref-vol"/>
    <w:basedOn w:val="a0"/>
    <w:rsid w:val="000C05D1"/>
  </w:style>
  <w:style w:type="character" w:customStyle="1" w:styleId="nowraprefpubmed">
    <w:name w:val="nowrap ref pubmed"/>
    <w:basedOn w:val="a0"/>
    <w:rsid w:val="000C05D1"/>
  </w:style>
  <w:style w:type="character" w:customStyle="1" w:styleId="nowraprefpmc">
    <w:name w:val="nowrap ref pmc"/>
    <w:basedOn w:val="a0"/>
    <w:rsid w:val="000C05D1"/>
  </w:style>
  <w:style w:type="character" w:customStyle="1" w:styleId="20">
    <w:name w:val="Заголовок 2 Знак"/>
    <w:basedOn w:val="a0"/>
    <w:link w:val="2"/>
    <w:rsid w:val="00DC55A4"/>
    <w:rPr>
      <w:rFonts w:ascii="Arial" w:eastAsia="Courier New" w:hAnsi="Arial" w:cs="Arial"/>
      <w:b/>
      <w:bCs/>
      <w:i/>
      <w:iCs/>
      <w:color w:val="000000"/>
      <w:sz w:val="28"/>
      <w:szCs w:val="28"/>
      <w:lang w:val="en-US" w:eastAsia="en-US" w:bidi="he-IL"/>
    </w:rPr>
  </w:style>
  <w:style w:type="character" w:customStyle="1" w:styleId="apple-converted-space">
    <w:name w:val="apple-converted-space"/>
    <w:basedOn w:val="a0"/>
    <w:rsid w:val="00DC55A4"/>
  </w:style>
  <w:style w:type="paragraph" w:styleId="af5">
    <w:name w:val="Title"/>
    <w:basedOn w:val="a"/>
    <w:link w:val="af6"/>
    <w:qFormat/>
    <w:rsid w:val="00A115FA"/>
    <w:pPr>
      <w:widowControl/>
      <w:jc w:val="center"/>
    </w:pPr>
    <w:rPr>
      <w:rFonts w:ascii="Arial" w:eastAsia="Times New Roman" w:hAnsi="Arial" w:cs="Times New Roman"/>
      <w:b/>
      <w:bCs/>
      <w:color w:val="auto"/>
      <w:lang w:bidi="ar-SA"/>
    </w:rPr>
  </w:style>
  <w:style w:type="character" w:customStyle="1" w:styleId="af6">
    <w:name w:val="Название Знак"/>
    <w:basedOn w:val="a0"/>
    <w:link w:val="af5"/>
    <w:rsid w:val="00A115FA"/>
    <w:rPr>
      <w:rFonts w:ascii="Arial" w:hAnsi="Arial"/>
      <w:b/>
      <w:bCs/>
      <w:sz w:val="24"/>
      <w:szCs w:val="24"/>
      <w:lang w:val="en-US" w:eastAsia="en-US"/>
    </w:rPr>
  </w:style>
  <w:style w:type="character" w:customStyle="1" w:styleId="tlid-translation">
    <w:name w:val="tlid-translation"/>
    <w:rsid w:val="00A115FA"/>
  </w:style>
  <w:style w:type="character" w:customStyle="1" w:styleId="shorttext">
    <w:name w:val="short_text"/>
    <w:rsid w:val="00A115FA"/>
  </w:style>
  <w:style w:type="character" w:customStyle="1" w:styleId="hps">
    <w:name w:val="hps"/>
    <w:rsid w:val="00A115FA"/>
  </w:style>
  <w:style w:type="character" w:customStyle="1" w:styleId="hpsalt-edited">
    <w:name w:val="hps alt-edited"/>
    <w:rsid w:val="00A115FA"/>
  </w:style>
  <w:style w:type="paragraph" w:styleId="af7">
    <w:name w:val="Balloon Text"/>
    <w:basedOn w:val="a"/>
    <w:link w:val="af8"/>
    <w:rsid w:val="00BD0B1D"/>
    <w:rPr>
      <w:rFonts w:ascii="Tahoma" w:hAnsi="Tahoma" w:cs="Tahoma"/>
      <w:sz w:val="16"/>
      <w:szCs w:val="16"/>
    </w:rPr>
  </w:style>
  <w:style w:type="character" w:customStyle="1" w:styleId="af8">
    <w:name w:val="Текст выноски Знак"/>
    <w:basedOn w:val="a0"/>
    <w:link w:val="af7"/>
    <w:rsid w:val="00BD0B1D"/>
    <w:rPr>
      <w:rFonts w:ascii="Tahoma" w:eastAsia="Courier New" w:hAnsi="Tahoma" w:cs="Tahoma"/>
      <w:color w:val="000000"/>
      <w:sz w:val="16"/>
      <w:szCs w:val="16"/>
      <w:lang w:val="en-US" w:eastAsia="en-US" w:bidi="he-I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321F"/>
    <w:pPr>
      <w:widowControl w:val="0"/>
    </w:pPr>
    <w:rPr>
      <w:rFonts w:ascii="Courier New" w:eastAsia="Courier New" w:hAnsi="Courier New" w:cs="Courier New"/>
      <w:color w:val="000000"/>
      <w:sz w:val="24"/>
      <w:szCs w:val="24"/>
      <w:lang w:val="en-US" w:eastAsia="en-US" w:bidi="he-IL"/>
    </w:rPr>
  </w:style>
  <w:style w:type="paragraph" w:styleId="1">
    <w:name w:val="heading 1"/>
    <w:basedOn w:val="a"/>
    <w:next w:val="a"/>
    <w:link w:val="10"/>
    <w:qFormat/>
    <w:rsid w:val="00B34391"/>
    <w:pPr>
      <w:keepNext/>
      <w:widowControl/>
      <w:spacing w:before="240" w:after="60"/>
      <w:outlineLvl w:val="0"/>
    </w:pPr>
    <w:rPr>
      <w:rFonts w:ascii="Arial" w:eastAsia="Calibri" w:hAnsi="Arial" w:cs="Arial"/>
      <w:b/>
      <w:bCs/>
      <w:color w:val="auto"/>
      <w:kern w:val="32"/>
      <w:sz w:val="32"/>
      <w:szCs w:val="32"/>
      <w:lang w:val="ru-RU" w:eastAsia="ru-RU" w:bidi="ar-SA"/>
    </w:rPr>
  </w:style>
  <w:style w:type="paragraph" w:styleId="2">
    <w:name w:val="heading 2"/>
    <w:basedOn w:val="a"/>
    <w:next w:val="a"/>
    <w:link w:val="20"/>
    <w:qFormat/>
    <w:rsid w:val="000C05D1"/>
    <w:pPr>
      <w:keepNext/>
      <w:spacing w:before="240" w:after="60"/>
      <w:outlineLvl w:val="1"/>
    </w:pPr>
    <w:rPr>
      <w:rFonts w:ascii="Arial" w:hAnsi="Arial" w:cs="Arial"/>
      <w:b/>
      <w:bCs/>
      <w:i/>
      <w:iCs/>
      <w:sz w:val="28"/>
      <w:szCs w:val="28"/>
    </w:rPr>
  </w:style>
  <w:style w:type="paragraph" w:styleId="3">
    <w:name w:val="heading 3"/>
    <w:basedOn w:val="a"/>
    <w:next w:val="a"/>
    <w:qFormat/>
    <w:rsid w:val="000C05D1"/>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34391"/>
    <w:rPr>
      <w:rFonts w:ascii="Arial" w:eastAsia="Calibri" w:hAnsi="Arial" w:cs="Arial"/>
      <w:b/>
      <w:bCs/>
      <w:kern w:val="32"/>
      <w:sz w:val="32"/>
      <w:szCs w:val="32"/>
      <w:lang w:val="ru-RU" w:eastAsia="ru-RU" w:bidi="ar-SA"/>
    </w:rPr>
  </w:style>
  <w:style w:type="character" w:customStyle="1" w:styleId="5">
    <w:name w:val="Основной текст (5)_"/>
    <w:basedOn w:val="a0"/>
    <w:link w:val="51"/>
    <w:rsid w:val="00B34391"/>
    <w:rPr>
      <w:b/>
      <w:bCs/>
      <w:sz w:val="23"/>
      <w:szCs w:val="23"/>
      <w:lang w:bidi="he-IL"/>
    </w:rPr>
  </w:style>
  <w:style w:type="paragraph" w:customStyle="1" w:styleId="51">
    <w:name w:val="Основной текст (5)1"/>
    <w:basedOn w:val="a"/>
    <w:link w:val="5"/>
    <w:rsid w:val="00B34391"/>
    <w:pPr>
      <w:shd w:val="clear" w:color="auto" w:fill="FFFFFF"/>
      <w:spacing w:before="240" w:line="240" w:lineRule="atLeast"/>
    </w:pPr>
    <w:rPr>
      <w:rFonts w:ascii="Times New Roman" w:eastAsia="Times New Roman" w:hAnsi="Times New Roman" w:cs="Times New Roman"/>
      <w:b/>
      <w:bCs/>
      <w:color w:val="auto"/>
      <w:sz w:val="23"/>
      <w:szCs w:val="23"/>
      <w:lang w:val="ru-RU" w:eastAsia="ru-RU"/>
    </w:rPr>
  </w:style>
  <w:style w:type="character" w:customStyle="1" w:styleId="50">
    <w:name w:val="Основной текст (5)"/>
    <w:basedOn w:val="5"/>
    <w:rsid w:val="00B34391"/>
    <w:rPr>
      <w:b/>
      <w:bCs/>
      <w:sz w:val="23"/>
      <w:szCs w:val="23"/>
      <w:lang w:bidi="he-IL"/>
    </w:rPr>
  </w:style>
  <w:style w:type="character" w:customStyle="1" w:styleId="a3">
    <w:name w:val="Основной текст Знак"/>
    <w:basedOn w:val="a0"/>
    <w:link w:val="a4"/>
    <w:rsid w:val="00B34391"/>
    <w:rPr>
      <w:sz w:val="18"/>
      <w:szCs w:val="18"/>
      <w:lang w:bidi="he-IL"/>
    </w:rPr>
  </w:style>
  <w:style w:type="paragraph" w:styleId="a4">
    <w:name w:val="Body Text"/>
    <w:basedOn w:val="a"/>
    <w:link w:val="a3"/>
    <w:rsid w:val="00B34391"/>
    <w:pPr>
      <w:shd w:val="clear" w:color="auto" w:fill="FFFFFF"/>
      <w:spacing w:line="422" w:lineRule="exact"/>
      <w:ind w:hanging="700"/>
    </w:pPr>
    <w:rPr>
      <w:rFonts w:ascii="Times New Roman" w:eastAsia="Times New Roman" w:hAnsi="Times New Roman" w:cs="Times New Roman"/>
      <w:color w:val="auto"/>
      <w:sz w:val="18"/>
      <w:szCs w:val="18"/>
      <w:lang w:val="ru-RU" w:eastAsia="ru-RU"/>
    </w:rPr>
  </w:style>
  <w:style w:type="character" w:customStyle="1" w:styleId="6">
    <w:name w:val="Основной текст (6)_"/>
    <w:basedOn w:val="a0"/>
    <w:link w:val="61"/>
    <w:rsid w:val="00B34391"/>
    <w:rPr>
      <w:b/>
      <w:bCs/>
      <w:spacing w:val="-10"/>
      <w:sz w:val="54"/>
      <w:szCs w:val="54"/>
      <w:lang w:bidi="he-IL"/>
    </w:rPr>
  </w:style>
  <w:style w:type="paragraph" w:customStyle="1" w:styleId="61">
    <w:name w:val="Основной текст (6)1"/>
    <w:basedOn w:val="a"/>
    <w:link w:val="6"/>
    <w:rsid w:val="00B34391"/>
    <w:pPr>
      <w:shd w:val="clear" w:color="auto" w:fill="FFFFFF"/>
      <w:spacing w:after="360" w:line="240" w:lineRule="atLeast"/>
    </w:pPr>
    <w:rPr>
      <w:rFonts w:ascii="Times New Roman" w:eastAsia="Times New Roman" w:hAnsi="Times New Roman" w:cs="Times New Roman"/>
      <w:b/>
      <w:bCs/>
      <w:color w:val="auto"/>
      <w:spacing w:val="-10"/>
      <w:sz w:val="54"/>
      <w:szCs w:val="54"/>
      <w:lang w:val="ru-RU" w:eastAsia="ru-RU"/>
    </w:rPr>
  </w:style>
  <w:style w:type="character" w:customStyle="1" w:styleId="60">
    <w:name w:val="Основной текст (6)"/>
    <w:basedOn w:val="6"/>
    <w:rsid w:val="00B34391"/>
    <w:rPr>
      <w:b/>
      <w:bCs/>
      <w:spacing w:val="-10"/>
      <w:sz w:val="54"/>
      <w:szCs w:val="54"/>
      <w:lang w:bidi="he-IL"/>
    </w:rPr>
  </w:style>
  <w:style w:type="character" w:customStyle="1" w:styleId="a5">
    <w:name w:val="Колонтитул_"/>
    <w:basedOn w:val="a0"/>
    <w:link w:val="11"/>
    <w:rsid w:val="00B34391"/>
    <w:rPr>
      <w:b/>
      <w:bCs/>
      <w:sz w:val="15"/>
      <w:szCs w:val="15"/>
      <w:lang w:bidi="he-IL"/>
    </w:rPr>
  </w:style>
  <w:style w:type="paragraph" w:customStyle="1" w:styleId="11">
    <w:name w:val="Колонтитул1"/>
    <w:basedOn w:val="a"/>
    <w:link w:val="a5"/>
    <w:rsid w:val="00B34391"/>
    <w:pPr>
      <w:shd w:val="clear" w:color="auto" w:fill="FFFFFF"/>
      <w:spacing w:line="240" w:lineRule="atLeast"/>
    </w:pPr>
    <w:rPr>
      <w:rFonts w:ascii="Times New Roman" w:eastAsia="Times New Roman" w:hAnsi="Times New Roman" w:cs="Times New Roman"/>
      <w:b/>
      <w:bCs/>
      <w:color w:val="auto"/>
      <w:sz w:val="15"/>
      <w:szCs w:val="15"/>
      <w:lang w:val="ru-RU" w:eastAsia="ru-RU"/>
    </w:rPr>
  </w:style>
  <w:style w:type="character" w:customStyle="1" w:styleId="a6">
    <w:name w:val="Колонтитул"/>
    <w:basedOn w:val="a5"/>
    <w:rsid w:val="00B34391"/>
    <w:rPr>
      <w:b/>
      <w:bCs/>
      <w:sz w:val="15"/>
      <w:szCs w:val="15"/>
      <w:lang w:bidi="he-IL"/>
    </w:rPr>
  </w:style>
  <w:style w:type="character" w:customStyle="1" w:styleId="12">
    <w:name w:val="Заголовок №1_"/>
    <w:basedOn w:val="a0"/>
    <w:link w:val="110"/>
    <w:rsid w:val="00B34391"/>
    <w:rPr>
      <w:b/>
      <w:bCs/>
      <w:spacing w:val="-10"/>
      <w:sz w:val="36"/>
      <w:szCs w:val="36"/>
      <w:lang w:bidi="he-IL"/>
    </w:rPr>
  </w:style>
  <w:style w:type="paragraph" w:customStyle="1" w:styleId="110">
    <w:name w:val="Заголовок №11"/>
    <w:basedOn w:val="a"/>
    <w:link w:val="12"/>
    <w:rsid w:val="00B34391"/>
    <w:pPr>
      <w:shd w:val="clear" w:color="auto" w:fill="FFFFFF"/>
      <w:spacing w:after="360" w:line="240" w:lineRule="atLeast"/>
      <w:outlineLvl w:val="0"/>
    </w:pPr>
    <w:rPr>
      <w:rFonts w:ascii="Times New Roman" w:eastAsia="Times New Roman" w:hAnsi="Times New Roman" w:cs="Times New Roman"/>
      <w:b/>
      <w:bCs/>
      <w:color w:val="auto"/>
      <w:spacing w:val="-10"/>
      <w:sz w:val="36"/>
      <w:szCs w:val="36"/>
      <w:lang w:val="ru-RU" w:eastAsia="ru-RU"/>
    </w:rPr>
  </w:style>
  <w:style w:type="character" w:customStyle="1" w:styleId="13">
    <w:name w:val="Заголовок №1"/>
    <w:basedOn w:val="12"/>
    <w:rsid w:val="00B34391"/>
    <w:rPr>
      <w:b/>
      <w:bCs/>
      <w:spacing w:val="-10"/>
      <w:sz w:val="36"/>
      <w:szCs w:val="36"/>
      <w:lang w:bidi="he-IL"/>
    </w:rPr>
  </w:style>
  <w:style w:type="character" w:customStyle="1" w:styleId="a7">
    <w:name w:val="Основной текст + Курсив"/>
    <w:basedOn w:val="a3"/>
    <w:rsid w:val="00B34391"/>
    <w:rPr>
      <w:i/>
      <w:iCs/>
      <w:sz w:val="18"/>
      <w:szCs w:val="18"/>
      <w:lang w:bidi="he-IL"/>
    </w:rPr>
  </w:style>
  <w:style w:type="character" w:customStyle="1" w:styleId="8">
    <w:name w:val="Основной текст (8)_"/>
    <w:basedOn w:val="a0"/>
    <w:link w:val="81"/>
    <w:rsid w:val="00B34391"/>
    <w:rPr>
      <w:i/>
      <w:iCs/>
      <w:sz w:val="18"/>
      <w:szCs w:val="18"/>
      <w:lang w:bidi="he-IL"/>
    </w:rPr>
  </w:style>
  <w:style w:type="paragraph" w:customStyle="1" w:styleId="81">
    <w:name w:val="Основной текст (8)1"/>
    <w:basedOn w:val="a"/>
    <w:link w:val="8"/>
    <w:rsid w:val="00B34391"/>
    <w:pPr>
      <w:shd w:val="clear" w:color="auto" w:fill="FFFFFF"/>
      <w:spacing w:before="180" w:after="60" w:line="240" w:lineRule="atLeast"/>
      <w:jc w:val="right"/>
    </w:pPr>
    <w:rPr>
      <w:rFonts w:ascii="Times New Roman" w:eastAsia="Times New Roman" w:hAnsi="Times New Roman" w:cs="Times New Roman"/>
      <w:i/>
      <w:iCs/>
      <w:color w:val="auto"/>
      <w:sz w:val="18"/>
      <w:szCs w:val="18"/>
      <w:lang w:val="ru-RU" w:eastAsia="ru-RU"/>
    </w:rPr>
  </w:style>
  <w:style w:type="character" w:customStyle="1" w:styleId="80">
    <w:name w:val="Основной текст (8)"/>
    <w:basedOn w:val="8"/>
    <w:rsid w:val="00B34391"/>
    <w:rPr>
      <w:i/>
      <w:iCs/>
      <w:sz w:val="18"/>
      <w:szCs w:val="18"/>
      <w:lang w:bidi="he-IL"/>
    </w:rPr>
  </w:style>
  <w:style w:type="character" w:customStyle="1" w:styleId="5Exact1">
    <w:name w:val="Основной текст (5) Exact1"/>
    <w:basedOn w:val="5"/>
    <w:rsid w:val="00B34391"/>
    <w:rPr>
      <w:b/>
      <w:bCs/>
      <w:sz w:val="21"/>
      <w:szCs w:val="21"/>
      <w:u w:val="single"/>
      <w:lang w:bidi="he-IL"/>
    </w:rPr>
  </w:style>
  <w:style w:type="character" w:customStyle="1" w:styleId="30">
    <w:name w:val="Заголовок №3_"/>
    <w:basedOn w:val="a0"/>
    <w:link w:val="31"/>
    <w:rsid w:val="00B34391"/>
    <w:rPr>
      <w:b/>
      <w:bCs/>
      <w:sz w:val="23"/>
      <w:szCs w:val="23"/>
      <w:lang w:bidi="he-IL"/>
    </w:rPr>
  </w:style>
  <w:style w:type="paragraph" w:customStyle="1" w:styleId="31">
    <w:name w:val="Заголовок №31"/>
    <w:basedOn w:val="a"/>
    <w:link w:val="30"/>
    <w:rsid w:val="00B34391"/>
    <w:pPr>
      <w:shd w:val="clear" w:color="auto" w:fill="FFFFFF"/>
      <w:spacing w:before="780" w:after="360" w:line="240" w:lineRule="atLeast"/>
      <w:jc w:val="both"/>
      <w:outlineLvl w:val="2"/>
    </w:pPr>
    <w:rPr>
      <w:rFonts w:ascii="Times New Roman" w:eastAsia="Times New Roman" w:hAnsi="Times New Roman" w:cs="Times New Roman"/>
      <w:b/>
      <w:bCs/>
      <w:color w:val="auto"/>
      <w:sz w:val="23"/>
      <w:szCs w:val="23"/>
      <w:lang w:val="ru-RU" w:eastAsia="ru-RU"/>
    </w:rPr>
  </w:style>
  <w:style w:type="character" w:customStyle="1" w:styleId="32">
    <w:name w:val="Заголовок №3"/>
    <w:basedOn w:val="30"/>
    <w:rsid w:val="00B34391"/>
    <w:rPr>
      <w:b/>
      <w:bCs/>
      <w:sz w:val="23"/>
      <w:szCs w:val="23"/>
      <w:lang w:bidi="he-IL"/>
    </w:rPr>
  </w:style>
  <w:style w:type="character" w:customStyle="1" w:styleId="33">
    <w:name w:val="Заголовок №33"/>
    <w:basedOn w:val="30"/>
    <w:rsid w:val="00B34391"/>
    <w:rPr>
      <w:b/>
      <w:bCs/>
      <w:sz w:val="23"/>
      <w:szCs w:val="23"/>
      <w:u w:val="single"/>
      <w:lang w:bidi="he-IL"/>
    </w:rPr>
  </w:style>
  <w:style w:type="character" w:customStyle="1" w:styleId="a8">
    <w:name w:val="Основной текст + Полужирный"/>
    <w:basedOn w:val="a3"/>
    <w:rsid w:val="00B34391"/>
    <w:rPr>
      <w:b/>
      <w:bCs/>
      <w:sz w:val="18"/>
      <w:szCs w:val="18"/>
      <w:lang w:bidi="he-IL"/>
    </w:rPr>
  </w:style>
  <w:style w:type="character" w:customStyle="1" w:styleId="82">
    <w:name w:val="Основной текст (8) + Полужирный"/>
    <w:aliases w:val="Не курсив"/>
    <w:basedOn w:val="8"/>
    <w:rsid w:val="00B34391"/>
    <w:rPr>
      <w:b/>
      <w:bCs/>
      <w:i/>
      <w:iCs/>
      <w:sz w:val="18"/>
      <w:szCs w:val="18"/>
      <w:lang w:bidi="he-IL"/>
    </w:rPr>
  </w:style>
  <w:style w:type="character" w:customStyle="1" w:styleId="83">
    <w:name w:val="Основной текст (8) + Не курсив"/>
    <w:basedOn w:val="8"/>
    <w:rsid w:val="00B34391"/>
    <w:rPr>
      <w:i/>
      <w:iCs/>
      <w:sz w:val="18"/>
      <w:szCs w:val="18"/>
      <w:lang w:bidi="he-IL"/>
    </w:rPr>
  </w:style>
  <w:style w:type="character" w:customStyle="1" w:styleId="111">
    <w:name w:val="Основной текст (11)_"/>
    <w:basedOn w:val="a0"/>
    <w:link w:val="1110"/>
    <w:rsid w:val="00B34391"/>
    <w:rPr>
      <w:b/>
      <w:bCs/>
      <w:sz w:val="18"/>
      <w:szCs w:val="18"/>
      <w:lang w:bidi="he-IL"/>
    </w:rPr>
  </w:style>
  <w:style w:type="paragraph" w:customStyle="1" w:styleId="1110">
    <w:name w:val="Основной текст (11)1"/>
    <w:basedOn w:val="a"/>
    <w:link w:val="111"/>
    <w:rsid w:val="00B34391"/>
    <w:pPr>
      <w:shd w:val="clear" w:color="auto" w:fill="FFFFFF"/>
      <w:spacing w:line="240" w:lineRule="exact"/>
    </w:pPr>
    <w:rPr>
      <w:rFonts w:ascii="Times New Roman" w:eastAsia="Times New Roman" w:hAnsi="Times New Roman" w:cs="Times New Roman"/>
      <w:b/>
      <w:bCs/>
      <w:color w:val="auto"/>
      <w:sz w:val="18"/>
      <w:szCs w:val="18"/>
      <w:lang w:val="ru-RU" w:eastAsia="ru-RU"/>
    </w:rPr>
  </w:style>
  <w:style w:type="character" w:customStyle="1" w:styleId="112">
    <w:name w:val="Основной текст (11)"/>
    <w:basedOn w:val="111"/>
    <w:rsid w:val="00B34391"/>
    <w:rPr>
      <w:b/>
      <w:bCs/>
      <w:sz w:val="18"/>
      <w:szCs w:val="18"/>
      <w:lang w:bidi="he-IL"/>
    </w:rPr>
  </w:style>
  <w:style w:type="character" w:customStyle="1" w:styleId="113">
    <w:name w:val="Основной текст (11) + Не полужирный"/>
    <w:basedOn w:val="111"/>
    <w:rsid w:val="00B34391"/>
    <w:rPr>
      <w:b/>
      <w:bCs/>
      <w:sz w:val="18"/>
      <w:szCs w:val="18"/>
      <w:lang w:bidi="he-IL"/>
    </w:rPr>
  </w:style>
  <w:style w:type="character" w:customStyle="1" w:styleId="1120">
    <w:name w:val="Основной текст (11) + Не полужирный2"/>
    <w:aliases w:val="Курсив"/>
    <w:basedOn w:val="111"/>
    <w:rsid w:val="00B34391"/>
    <w:rPr>
      <w:b/>
      <w:bCs/>
      <w:i/>
      <w:iCs/>
      <w:sz w:val="18"/>
      <w:szCs w:val="18"/>
      <w:lang w:bidi="he-IL"/>
    </w:rPr>
  </w:style>
  <w:style w:type="character" w:customStyle="1" w:styleId="120">
    <w:name w:val="Основной текст (12)_"/>
    <w:basedOn w:val="a0"/>
    <w:link w:val="121"/>
    <w:rsid w:val="00B34391"/>
    <w:rPr>
      <w:rFonts w:ascii="Franklin Gothic Heavy" w:hAnsi="Franklin Gothic Heavy"/>
      <w:spacing w:val="40"/>
      <w:sz w:val="8"/>
      <w:szCs w:val="8"/>
      <w:lang w:bidi="he-IL"/>
    </w:rPr>
  </w:style>
  <w:style w:type="paragraph" w:customStyle="1" w:styleId="121">
    <w:name w:val="Основной текст (12)1"/>
    <w:basedOn w:val="a"/>
    <w:link w:val="120"/>
    <w:rsid w:val="00B34391"/>
    <w:pPr>
      <w:shd w:val="clear" w:color="auto" w:fill="FFFFFF"/>
      <w:spacing w:after="540" w:line="139" w:lineRule="exact"/>
      <w:ind w:firstLine="4860"/>
    </w:pPr>
    <w:rPr>
      <w:rFonts w:ascii="Franklin Gothic Heavy" w:eastAsia="Times New Roman" w:hAnsi="Franklin Gothic Heavy" w:cs="Times New Roman"/>
      <w:color w:val="auto"/>
      <w:spacing w:val="40"/>
      <w:sz w:val="8"/>
      <w:szCs w:val="8"/>
      <w:lang w:val="ru-RU" w:eastAsia="ru-RU"/>
    </w:rPr>
  </w:style>
  <w:style w:type="character" w:customStyle="1" w:styleId="122">
    <w:name w:val="Основной текст (12)2"/>
    <w:basedOn w:val="120"/>
    <w:rsid w:val="00B34391"/>
    <w:rPr>
      <w:rFonts w:ascii="Franklin Gothic Heavy" w:hAnsi="Franklin Gothic Heavy"/>
      <w:spacing w:val="40"/>
      <w:sz w:val="8"/>
      <w:szCs w:val="8"/>
      <w:lang w:bidi="he-IL"/>
    </w:rPr>
  </w:style>
  <w:style w:type="character" w:customStyle="1" w:styleId="a9">
    <w:name w:val="Подпись к таблице_"/>
    <w:basedOn w:val="a0"/>
    <w:link w:val="14"/>
    <w:rsid w:val="00B34391"/>
    <w:rPr>
      <w:sz w:val="18"/>
      <w:szCs w:val="18"/>
      <w:lang w:bidi="he-IL"/>
    </w:rPr>
  </w:style>
  <w:style w:type="paragraph" w:customStyle="1" w:styleId="14">
    <w:name w:val="Подпись к таблице1"/>
    <w:basedOn w:val="a"/>
    <w:link w:val="a9"/>
    <w:rsid w:val="00B34391"/>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52">
    <w:name w:val="Подпись к таблице5"/>
    <w:basedOn w:val="a9"/>
    <w:rsid w:val="00B34391"/>
    <w:rPr>
      <w:sz w:val="18"/>
      <w:szCs w:val="18"/>
      <w:u w:val="single"/>
      <w:lang w:bidi="he-IL"/>
    </w:rPr>
  </w:style>
  <w:style w:type="character" w:customStyle="1" w:styleId="200">
    <w:name w:val="Основной текст + Курсив20"/>
    <w:basedOn w:val="a3"/>
    <w:rsid w:val="00B34391"/>
    <w:rPr>
      <w:i/>
      <w:iCs/>
      <w:sz w:val="18"/>
      <w:szCs w:val="18"/>
      <w:lang w:bidi="he-IL"/>
    </w:rPr>
  </w:style>
  <w:style w:type="character" w:customStyle="1" w:styleId="320">
    <w:name w:val="Заголовок №32"/>
    <w:basedOn w:val="30"/>
    <w:rsid w:val="00B34391"/>
    <w:rPr>
      <w:b/>
      <w:bCs/>
      <w:sz w:val="23"/>
      <w:szCs w:val="23"/>
      <w:lang w:bidi="he-IL"/>
    </w:rPr>
  </w:style>
  <w:style w:type="character" w:customStyle="1" w:styleId="88">
    <w:name w:val="Основной текст (8)8"/>
    <w:basedOn w:val="8"/>
    <w:rsid w:val="00B34391"/>
    <w:rPr>
      <w:i/>
      <w:iCs/>
      <w:sz w:val="18"/>
      <w:szCs w:val="18"/>
      <w:lang w:bidi="he-IL"/>
    </w:rPr>
  </w:style>
  <w:style w:type="character" w:customStyle="1" w:styleId="85">
    <w:name w:val="Основной текст (8) + Не курсив5"/>
    <w:basedOn w:val="8"/>
    <w:rsid w:val="00B34391"/>
    <w:rPr>
      <w:i/>
      <w:iCs/>
      <w:sz w:val="18"/>
      <w:szCs w:val="18"/>
      <w:lang w:bidi="he-IL"/>
    </w:rPr>
  </w:style>
  <w:style w:type="character" w:customStyle="1" w:styleId="-1pt">
    <w:name w:val="Основной текст + Интервал -1 pt"/>
    <w:basedOn w:val="a3"/>
    <w:rsid w:val="00B34391"/>
    <w:rPr>
      <w:spacing w:val="-30"/>
      <w:sz w:val="18"/>
      <w:szCs w:val="18"/>
      <w:lang w:bidi="he-IL"/>
    </w:rPr>
  </w:style>
  <w:style w:type="paragraph" w:styleId="aa">
    <w:name w:val="Body Text Indent"/>
    <w:basedOn w:val="a"/>
    <w:link w:val="ab"/>
    <w:rsid w:val="00B34391"/>
    <w:pPr>
      <w:spacing w:after="120"/>
      <w:ind w:left="283"/>
    </w:pPr>
  </w:style>
  <w:style w:type="character" w:customStyle="1" w:styleId="ab">
    <w:name w:val="Основной текст с отступом Знак"/>
    <w:basedOn w:val="a0"/>
    <w:link w:val="aa"/>
    <w:rsid w:val="00B34391"/>
    <w:rPr>
      <w:rFonts w:ascii="Courier New" w:eastAsia="Courier New" w:hAnsi="Courier New" w:cs="Courier New"/>
      <w:color w:val="000000"/>
      <w:sz w:val="24"/>
      <w:szCs w:val="24"/>
      <w:lang w:val="en-US" w:eastAsia="en-US" w:bidi="he-IL"/>
    </w:rPr>
  </w:style>
  <w:style w:type="character" w:styleId="ac">
    <w:name w:val="Hyperlink"/>
    <w:basedOn w:val="a0"/>
    <w:rsid w:val="00B34391"/>
    <w:rPr>
      <w:color w:val="0000FF"/>
      <w:u w:val="single"/>
    </w:rPr>
  </w:style>
  <w:style w:type="character" w:customStyle="1" w:styleId="ad">
    <w:name w:val="Подпись к картинке_"/>
    <w:basedOn w:val="a0"/>
    <w:link w:val="15"/>
    <w:rsid w:val="005F0F2B"/>
    <w:rPr>
      <w:sz w:val="18"/>
      <w:szCs w:val="18"/>
      <w:lang w:bidi="he-IL"/>
    </w:rPr>
  </w:style>
  <w:style w:type="paragraph" w:customStyle="1" w:styleId="15">
    <w:name w:val="Подпись к картинке1"/>
    <w:basedOn w:val="a"/>
    <w:link w:val="ad"/>
    <w:rsid w:val="005F0F2B"/>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ae">
    <w:name w:val="Подпись к картинке"/>
    <w:basedOn w:val="ad"/>
    <w:rsid w:val="005F0F2B"/>
    <w:rPr>
      <w:sz w:val="18"/>
      <w:szCs w:val="18"/>
      <w:lang w:bidi="he-IL"/>
    </w:rPr>
  </w:style>
  <w:style w:type="character" w:customStyle="1" w:styleId="4">
    <w:name w:val="Колонтитул4"/>
    <w:basedOn w:val="a5"/>
    <w:rsid w:val="005F0F2B"/>
    <w:rPr>
      <w:b/>
      <w:bCs/>
      <w:sz w:val="15"/>
      <w:szCs w:val="15"/>
      <w:lang w:bidi="he-IL"/>
    </w:rPr>
  </w:style>
  <w:style w:type="character" w:customStyle="1" w:styleId="300">
    <w:name w:val="Подпись к картинке (30)_"/>
    <w:basedOn w:val="a0"/>
    <w:link w:val="301"/>
    <w:rsid w:val="005F0F2B"/>
    <w:rPr>
      <w:rFonts w:ascii="Trebuchet MS" w:hAnsi="Trebuchet MS"/>
      <w:b/>
      <w:bCs/>
      <w:spacing w:val="20"/>
      <w:sz w:val="12"/>
      <w:szCs w:val="12"/>
      <w:lang w:bidi="he-IL"/>
    </w:rPr>
  </w:style>
  <w:style w:type="paragraph" w:customStyle="1" w:styleId="301">
    <w:name w:val="Подпись к картинке (30)1"/>
    <w:basedOn w:val="a"/>
    <w:link w:val="300"/>
    <w:rsid w:val="005F0F2B"/>
    <w:pPr>
      <w:shd w:val="clear" w:color="auto" w:fill="FFFFFF"/>
      <w:spacing w:before="60" w:line="240" w:lineRule="atLeast"/>
    </w:pPr>
    <w:rPr>
      <w:rFonts w:ascii="Trebuchet MS" w:eastAsia="Times New Roman" w:hAnsi="Trebuchet MS" w:cs="Times New Roman"/>
      <w:b/>
      <w:bCs/>
      <w:color w:val="auto"/>
      <w:spacing w:val="20"/>
      <w:sz w:val="12"/>
      <w:szCs w:val="12"/>
      <w:lang w:val="ru-RU" w:eastAsia="ru-RU"/>
    </w:rPr>
  </w:style>
  <w:style w:type="character" w:customStyle="1" w:styleId="300pt">
    <w:name w:val="Подпись к картинке (30) + Интервал 0 pt"/>
    <w:basedOn w:val="300"/>
    <w:rsid w:val="005F0F2B"/>
    <w:rPr>
      <w:rFonts w:ascii="Trebuchet MS" w:hAnsi="Trebuchet MS"/>
      <w:b/>
      <w:bCs/>
      <w:spacing w:val="0"/>
      <w:sz w:val="12"/>
      <w:szCs w:val="12"/>
      <w:lang w:bidi="he-IL"/>
    </w:rPr>
  </w:style>
  <w:style w:type="character" w:customStyle="1" w:styleId="310">
    <w:name w:val="Подпись к картинке (31)_"/>
    <w:basedOn w:val="a0"/>
    <w:link w:val="311"/>
    <w:rsid w:val="005F0F2B"/>
    <w:rPr>
      <w:rFonts w:ascii="Trebuchet MS" w:hAnsi="Trebuchet MS"/>
      <w:sz w:val="9"/>
      <w:szCs w:val="9"/>
      <w:lang w:bidi="he-IL"/>
    </w:rPr>
  </w:style>
  <w:style w:type="paragraph" w:customStyle="1" w:styleId="311">
    <w:name w:val="Подпись к картинке (31)1"/>
    <w:basedOn w:val="a"/>
    <w:link w:val="310"/>
    <w:rsid w:val="005F0F2B"/>
    <w:pPr>
      <w:shd w:val="clear" w:color="auto" w:fill="FFFFFF"/>
      <w:spacing w:line="144" w:lineRule="exact"/>
      <w:jc w:val="both"/>
    </w:pPr>
    <w:rPr>
      <w:rFonts w:ascii="Trebuchet MS" w:eastAsia="Times New Roman" w:hAnsi="Trebuchet MS" w:cs="Times New Roman"/>
      <w:color w:val="auto"/>
      <w:sz w:val="9"/>
      <w:szCs w:val="9"/>
      <w:lang w:val="ru-RU" w:eastAsia="ru-RU"/>
    </w:rPr>
  </w:style>
  <w:style w:type="character" w:customStyle="1" w:styleId="312">
    <w:name w:val="Подпись к картинке (31)"/>
    <w:basedOn w:val="310"/>
    <w:rsid w:val="005F0F2B"/>
    <w:rPr>
      <w:rFonts w:ascii="Trebuchet MS" w:hAnsi="Trebuchet MS"/>
      <w:sz w:val="9"/>
      <w:szCs w:val="9"/>
      <w:lang w:bidi="he-IL"/>
    </w:rPr>
  </w:style>
  <w:style w:type="paragraph" w:styleId="af">
    <w:name w:val="footer"/>
    <w:basedOn w:val="a"/>
    <w:rsid w:val="003B6D07"/>
    <w:pPr>
      <w:tabs>
        <w:tab w:val="center" w:pos="4677"/>
        <w:tab w:val="right" w:pos="9355"/>
      </w:tabs>
    </w:pPr>
  </w:style>
  <w:style w:type="paragraph" w:styleId="af0">
    <w:name w:val="header"/>
    <w:basedOn w:val="a"/>
    <w:rsid w:val="003B6D07"/>
    <w:pPr>
      <w:tabs>
        <w:tab w:val="center" w:pos="4677"/>
        <w:tab w:val="right" w:pos="9355"/>
      </w:tabs>
    </w:pPr>
  </w:style>
  <w:style w:type="character" w:customStyle="1" w:styleId="Arial12">
    <w:name w:val="Колонтитул + Arial12"/>
    <w:aliases w:val="7 pt18,Не полужирный92,Малые прописные"/>
    <w:basedOn w:val="a5"/>
    <w:rsid w:val="004765E2"/>
    <w:rPr>
      <w:rFonts w:ascii="Arial" w:hAnsi="Arial" w:cs="Arial"/>
      <w:b/>
      <w:bCs/>
      <w:smallCaps/>
      <w:sz w:val="14"/>
      <w:szCs w:val="14"/>
      <w:lang w:bidi="he-IL"/>
    </w:rPr>
  </w:style>
  <w:style w:type="character" w:customStyle="1" w:styleId="84">
    <w:name w:val="Колонтитул + 8"/>
    <w:aliases w:val="5 pt119"/>
    <w:basedOn w:val="a5"/>
    <w:rsid w:val="004765E2"/>
    <w:rPr>
      <w:rFonts w:ascii="Palatino Linotype" w:hAnsi="Palatino Linotype"/>
      <w:b/>
      <w:bCs/>
      <w:sz w:val="17"/>
      <w:szCs w:val="17"/>
      <w:lang w:bidi="he-IL"/>
    </w:rPr>
  </w:style>
  <w:style w:type="character" w:customStyle="1" w:styleId="Arial11">
    <w:name w:val="Колонтитул + Arial11"/>
    <w:aliases w:val="7 pt17,Не полужирный91"/>
    <w:basedOn w:val="a5"/>
    <w:rsid w:val="004765E2"/>
    <w:rPr>
      <w:rFonts w:ascii="Arial" w:hAnsi="Arial" w:cs="Arial"/>
      <w:b/>
      <w:bCs/>
      <w:sz w:val="14"/>
      <w:szCs w:val="14"/>
      <w:lang w:bidi="he-IL"/>
    </w:rPr>
  </w:style>
  <w:style w:type="paragraph" w:styleId="af1">
    <w:name w:val="List Paragraph"/>
    <w:basedOn w:val="a"/>
    <w:uiPriority w:val="34"/>
    <w:qFormat/>
    <w:rsid w:val="0006638E"/>
    <w:pPr>
      <w:ind w:left="720"/>
      <w:contextualSpacing/>
    </w:pPr>
  </w:style>
  <w:style w:type="character" w:customStyle="1" w:styleId="53">
    <w:name w:val="Основной текст (5)3"/>
    <w:basedOn w:val="5"/>
    <w:rsid w:val="005C09C2"/>
    <w:rPr>
      <w:rFonts w:ascii="Times New Roman" w:hAnsi="Times New Roman" w:cs="Times New Roman"/>
      <w:b/>
      <w:bCs/>
      <w:sz w:val="23"/>
      <w:szCs w:val="23"/>
      <w:shd w:val="clear" w:color="auto" w:fill="FFFFFF"/>
      <w:lang w:bidi="he-IL"/>
    </w:rPr>
  </w:style>
  <w:style w:type="character" w:styleId="af2">
    <w:name w:val="page number"/>
    <w:basedOn w:val="a0"/>
    <w:rsid w:val="006834D3"/>
  </w:style>
  <w:style w:type="character" w:customStyle="1" w:styleId="9">
    <w:name w:val="Основной текст (9)"/>
    <w:basedOn w:val="a0"/>
    <w:rsid w:val="009C3EDD"/>
    <w:rPr>
      <w:rFonts w:ascii="Palatino Linotype" w:hAnsi="Palatino Linotype"/>
      <w:b/>
      <w:bCs/>
      <w:spacing w:val="-10"/>
      <w:sz w:val="48"/>
      <w:szCs w:val="48"/>
      <w:lang w:bidi="he-IL"/>
    </w:rPr>
  </w:style>
  <w:style w:type="character" w:customStyle="1" w:styleId="34">
    <w:name w:val="Основной текст + Курсив3"/>
    <w:basedOn w:val="a0"/>
    <w:rsid w:val="00BF12A8"/>
    <w:rPr>
      <w:rFonts w:ascii="Times New Roman" w:hAnsi="Times New Roman" w:cs="Times New Roman"/>
      <w:i/>
      <w:iCs/>
      <w:sz w:val="18"/>
      <w:szCs w:val="18"/>
      <w:u w:val="none"/>
    </w:rPr>
  </w:style>
  <w:style w:type="character" w:customStyle="1" w:styleId="100">
    <w:name w:val="Заголовок №10_"/>
    <w:basedOn w:val="a0"/>
    <w:link w:val="101"/>
    <w:rsid w:val="00BF12A8"/>
    <w:rPr>
      <w:sz w:val="18"/>
      <w:szCs w:val="18"/>
      <w:lang w:bidi="he-IL"/>
    </w:rPr>
  </w:style>
  <w:style w:type="paragraph" w:customStyle="1" w:styleId="101">
    <w:name w:val="Заголовок №101"/>
    <w:basedOn w:val="a"/>
    <w:link w:val="100"/>
    <w:rsid w:val="00BF12A8"/>
    <w:pPr>
      <w:shd w:val="clear" w:color="auto" w:fill="FFFFFF"/>
      <w:spacing w:before="720" w:after="420" w:line="240" w:lineRule="atLeast"/>
      <w:jc w:val="both"/>
    </w:pPr>
    <w:rPr>
      <w:rFonts w:ascii="Times New Roman" w:eastAsia="Times New Roman" w:hAnsi="Times New Roman" w:cs="Times New Roman"/>
      <w:color w:val="auto"/>
      <w:sz w:val="18"/>
      <w:szCs w:val="18"/>
      <w:lang w:val="ru-RU" w:eastAsia="ru-RU"/>
    </w:rPr>
  </w:style>
  <w:style w:type="character" w:customStyle="1" w:styleId="102">
    <w:name w:val="Заголовок №10"/>
    <w:basedOn w:val="100"/>
    <w:rsid w:val="00BF12A8"/>
    <w:rPr>
      <w:sz w:val="18"/>
      <w:szCs w:val="18"/>
      <w:lang w:bidi="he-IL"/>
    </w:rPr>
  </w:style>
  <w:style w:type="character" w:customStyle="1" w:styleId="8pt1">
    <w:name w:val="Основной текст + 8 pt1"/>
    <w:aliases w:val="Полужирный4"/>
    <w:basedOn w:val="a0"/>
    <w:rsid w:val="00BF12A8"/>
    <w:rPr>
      <w:rFonts w:ascii="Times New Roman" w:hAnsi="Times New Roman" w:cs="Times New Roman"/>
      <w:b/>
      <w:bCs/>
      <w:sz w:val="16"/>
      <w:szCs w:val="16"/>
      <w:u w:val="none"/>
    </w:rPr>
  </w:style>
  <w:style w:type="character" w:customStyle="1" w:styleId="1130">
    <w:name w:val="Основной текст (11)3"/>
    <w:basedOn w:val="111"/>
    <w:rsid w:val="00BF12A8"/>
    <w:rPr>
      <w:rFonts w:ascii="Times New Roman" w:hAnsi="Times New Roman" w:cs="Times New Roman"/>
      <w:b w:val="0"/>
      <w:bCs w:val="0"/>
      <w:sz w:val="18"/>
      <w:szCs w:val="18"/>
      <w:u w:val="none"/>
      <w:lang w:bidi="he-IL"/>
    </w:rPr>
  </w:style>
  <w:style w:type="character" w:customStyle="1" w:styleId="21">
    <w:name w:val="Основной текст + Курсив2"/>
    <w:basedOn w:val="a0"/>
    <w:rsid w:val="00BF12A8"/>
    <w:rPr>
      <w:rFonts w:ascii="Times New Roman" w:hAnsi="Times New Roman" w:cs="Times New Roman"/>
      <w:i/>
      <w:iCs/>
      <w:sz w:val="18"/>
      <w:szCs w:val="18"/>
      <w:u w:val="none"/>
    </w:rPr>
  </w:style>
  <w:style w:type="character" w:customStyle="1" w:styleId="86">
    <w:name w:val="Заголовок №8_"/>
    <w:basedOn w:val="a0"/>
    <w:link w:val="810"/>
    <w:rsid w:val="00E225EC"/>
    <w:rPr>
      <w:b/>
      <w:bCs/>
      <w:sz w:val="23"/>
      <w:szCs w:val="23"/>
      <w:lang w:bidi="he-IL"/>
    </w:rPr>
  </w:style>
  <w:style w:type="paragraph" w:customStyle="1" w:styleId="810">
    <w:name w:val="Заголовок №81"/>
    <w:basedOn w:val="a"/>
    <w:link w:val="86"/>
    <w:rsid w:val="00E225EC"/>
    <w:pPr>
      <w:shd w:val="clear" w:color="auto" w:fill="FFFFFF"/>
      <w:spacing w:before="120" w:after="300" w:line="240" w:lineRule="atLeast"/>
      <w:ind w:hanging="320"/>
      <w:jc w:val="both"/>
      <w:outlineLvl w:val="7"/>
    </w:pPr>
    <w:rPr>
      <w:rFonts w:ascii="Times New Roman" w:eastAsia="Times New Roman" w:hAnsi="Times New Roman" w:cs="Times New Roman"/>
      <w:b/>
      <w:bCs/>
      <w:color w:val="auto"/>
      <w:sz w:val="23"/>
      <w:szCs w:val="23"/>
      <w:lang w:val="ru-RU" w:eastAsia="ru-RU"/>
    </w:rPr>
  </w:style>
  <w:style w:type="character" w:customStyle="1" w:styleId="114">
    <w:name w:val="Основной текст (11)4"/>
    <w:basedOn w:val="111"/>
    <w:rsid w:val="00E225EC"/>
    <w:rPr>
      <w:rFonts w:ascii="Times New Roman" w:hAnsi="Times New Roman" w:cs="Times New Roman"/>
      <w:b w:val="0"/>
      <w:bCs w:val="0"/>
      <w:sz w:val="18"/>
      <w:szCs w:val="18"/>
      <w:u w:val="none"/>
      <w:lang w:bidi="he-IL"/>
    </w:rPr>
  </w:style>
  <w:style w:type="character" w:customStyle="1" w:styleId="820">
    <w:name w:val="Заголовок №82"/>
    <w:basedOn w:val="86"/>
    <w:rsid w:val="00E225EC"/>
    <w:rPr>
      <w:b/>
      <w:bCs/>
      <w:sz w:val="23"/>
      <w:szCs w:val="23"/>
      <w:lang w:bidi="he-IL"/>
    </w:rPr>
  </w:style>
  <w:style w:type="paragraph" w:customStyle="1" w:styleId="pp-first">
    <w:name w:val="p p-fir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styleId="af3">
    <w:name w:val="Normal (Web)"/>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last">
    <w:name w:val="p p-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first-last">
    <w:name w:val="p p-first-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character" w:styleId="af4">
    <w:name w:val="Emphasis"/>
    <w:basedOn w:val="a0"/>
    <w:qFormat/>
    <w:rsid w:val="000C05D1"/>
    <w:rPr>
      <w:i/>
      <w:iCs/>
    </w:rPr>
  </w:style>
  <w:style w:type="character" w:customStyle="1" w:styleId="element-citation">
    <w:name w:val="element-citation"/>
    <w:basedOn w:val="a0"/>
    <w:rsid w:val="000C05D1"/>
  </w:style>
  <w:style w:type="character" w:customStyle="1" w:styleId="ref-journal">
    <w:name w:val="ref-journal"/>
    <w:basedOn w:val="a0"/>
    <w:rsid w:val="000C05D1"/>
  </w:style>
  <w:style w:type="character" w:customStyle="1" w:styleId="ref-vol">
    <w:name w:val="ref-vol"/>
    <w:basedOn w:val="a0"/>
    <w:rsid w:val="000C05D1"/>
  </w:style>
  <w:style w:type="character" w:customStyle="1" w:styleId="nowraprefpubmed">
    <w:name w:val="nowrap ref pubmed"/>
    <w:basedOn w:val="a0"/>
    <w:rsid w:val="000C05D1"/>
  </w:style>
  <w:style w:type="character" w:customStyle="1" w:styleId="nowraprefpmc">
    <w:name w:val="nowrap ref pmc"/>
    <w:basedOn w:val="a0"/>
    <w:rsid w:val="000C05D1"/>
  </w:style>
  <w:style w:type="character" w:customStyle="1" w:styleId="20">
    <w:name w:val="Заголовок 2 Знак"/>
    <w:basedOn w:val="a0"/>
    <w:link w:val="2"/>
    <w:rsid w:val="00DC55A4"/>
    <w:rPr>
      <w:rFonts w:ascii="Arial" w:eastAsia="Courier New" w:hAnsi="Arial" w:cs="Arial"/>
      <w:b/>
      <w:bCs/>
      <w:i/>
      <w:iCs/>
      <w:color w:val="000000"/>
      <w:sz w:val="28"/>
      <w:szCs w:val="28"/>
      <w:lang w:val="en-US" w:eastAsia="en-US" w:bidi="he-IL"/>
    </w:rPr>
  </w:style>
  <w:style w:type="character" w:customStyle="1" w:styleId="apple-converted-space">
    <w:name w:val="apple-converted-space"/>
    <w:basedOn w:val="a0"/>
    <w:rsid w:val="00DC55A4"/>
  </w:style>
  <w:style w:type="paragraph" w:styleId="af5">
    <w:name w:val="Title"/>
    <w:basedOn w:val="a"/>
    <w:link w:val="af6"/>
    <w:qFormat/>
    <w:rsid w:val="00A115FA"/>
    <w:pPr>
      <w:widowControl/>
      <w:jc w:val="center"/>
    </w:pPr>
    <w:rPr>
      <w:rFonts w:ascii="Arial" w:eastAsia="Times New Roman" w:hAnsi="Arial" w:cs="Times New Roman"/>
      <w:b/>
      <w:bCs/>
      <w:color w:val="auto"/>
      <w:lang w:bidi="ar-SA"/>
    </w:rPr>
  </w:style>
  <w:style w:type="character" w:customStyle="1" w:styleId="af6">
    <w:name w:val="Название Знак"/>
    <w:basedOn w:val="a0"/>
    <w:link w:val="af5"/>
    <w:rsid w:val="00A115FA"/>
    <w:rPr>
      <w:rFonts w:ascii="Arial" w:hAnsi="Arial"/>
      <w:b/>
      <w:bCs/>
      <w:sz w:val="24"/>
      <w:szCs w:val="24"/>
      <w:lang w:val="en-US" w:eastAsia="en-US"/>
    </w:rPr>
  </w:style>
  <w:style w:type="character" w:customStyle="1" w:styleId="tlid-translation">
    <w:name w:val="tlid-translation"/>
    <w:rsid w:val="00A115FA"/>
  </w:style>
  <w:style w:type="character" w:customStyle="1" w:styleId="shorttext">
    <w:name w:val="short_text"/>
    <w:rsid w:val="00A115FA"/>
  </w:style>
  <w:style w:type="character" w:customStyle="1" w:styleId="hps">
    <w:name w:val="hps"/>
    <w:rsid w:val="00A115FA"/>
  </w:style>
  <w:style w:type="character" w:customStyle="1" w:styleId="hpsalt-edited">
    <w:name w:val="hps alt-edited"/>
    <w:rsid w:val="00A115FA"/>
  </w:style>
  <w:style w:type="paragraph" w:styleId="af7">
    <w:name w:val="Balloon Text"/>
    <w:basedOn w:val="a"/>
    <w:link w:val="af8"/>
    <w:rsid w:val="00BD0B1D"/>
    <w:rPr>
      <w:rFonts w:ascii="Tahoma" w:hAnsi="Tahoma" w:cs="Tahoma"/>
      <w:sz w:val="16"/>
      <w:szCs w:val="16"/>
    </w:rPr>
  </w:style>
  <w:style w:type="character" w:customStyle="1" w:styleId="af8">
    <w:name w:val="Текст выноски Знак"/>
    <w:basedOn w:val="a0"/>
    <w:link w:val="af7"/>
    <w:rsid w:val="00BD0B1D"/>
    <w:rPr>
      <w:rFonts w:ascii="Tahoma" w:eastAsia="Courier New" w:hAnsi="Tahoma" w:cs="Tahoma"/>
      <w:color w:val="000000"/>
      <w:sz w:val="16"/>
      <w:szCs w:val="16"/>
      <w:lang w:val="en-US"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426703">
      <w:bodyDiv w:val="1"/>
      <w:marLeft w:val="0"/>
      <w:marRight w:val="0"/>
      <w:marTop w:val="0"/>
      <w:marBottom w:val="0"/>
      <w:divBdr>
        <w:top w:val="none" w:sz="0" w:space="0" w:color="auto"/>
        <w:left w:val="none" w:sz="0" w:space="0" w:color="auto"/>
        <w:bottom w:val="none" w:sz="0" w:space="0" w:color="auto"/>
        <w:right w:val="none" w:sz="0" w:space="0" w:color="auto"/>
      </w:divBdr>
      <w:divsChild>
        <w:div w:id="15548613">
          <w:marLeft w:val="0"/>
          <w:marRight w:val="0"/>
          <w:marTop w:val="166"/>
          <w:marBottom w:val="166"/>
          <w:divBdr>
            <w:top w:val="none" w:sz="0" w:space="0" w:color="auto"/>
            <w:left w:val="none" w:sz="0" w:space="0" w:color="auto"/>
            <w:bottom w:val="none" w:sz="0" w:space="0" w:color="auto"/>
            <w:right w:val="none" w:sz="0" w:space="0" w:color="auto"/>
          </w:divBdr>
        </w:div>
        <w:div w:id="17048685">
          <w:marLeft w:val="0"/>
          <w:marRight w:val="0"/>
          <w:marTop w:val="166"/>
          <w:marBottom w:val="166"/>
          <w:divBdr>
            <w:top w:val="none" w:sz="0" w:space="0" w:color="auto"/>
            <w:left w:val="none" w:sz="0" w:space="0" w:color="auto"/>
            <w:bottom w:val="none" w:sz="0" w:space="0" w:color="auto"/>
            <w:right w:val="none" w:sz="0" w:space="0" w:color="auto"/>
          </w:divBdr>
        </w:div>
        <w:div w:id="22872217">
          <w:marLeft w:val="0"/>
          <w:marRight w:val="0"/>
          <w:marTop w:val="166"/>
          <w:marBottom w:val="166"/>
          <w:divBdr>
            <w:top w:val="none" w:sz="0" w:space="0" w:color="auto"/>
            <w:left w:val="none" w:sz="0" w:space="0" w:color="auto"/>
            <w:bottom w:val="none" w:sz="0" w:space="0" w:color="auto"/>
            <w:right w:val="none" w:sz="0" w:space="0" w:color="auto"/>
          </w:divBdr>
        </w:div>
        <w:div w:id="33432970">
          <w:marLeft w:val="0"/>
          <w:marRight w:val="0"/>
          <w:marTop w:val="166"/>
          <w:marBottom w:val="166"/>
          <w:divBdr>
            <w:top w:val="none" w:sz="0" w:space="0" w:color="auto"/>
            <w:left w:val="none" w:sz="0" w:space="0" w:color="auto"/>
            <w:bottom w:val="none" w:sz="0" w:space="0" w:color="auto"/>
            <w:right w:val="none" w:sz="0" w:space="0" w:color="auto"/>
          </w:divBdr>
        </w:div>
        <w:div w:id="43261783">
          <w:marLeft w:val="0"/>
          <w:marRight w:val="0"/>
          <w:marTop w:val="166"/>
          <w:marBottom w:val="166"/>
          <w:divBdr>
            <w:top w:val="none" w:sz="0" w:space="0" w:color="auto"/>
            <w:left w:val="none" w:sz="0" w:space="0" w:color="auto"/>
            <w:bottom w:val="none" w:sz="0" w:space="0" w:color="auto"/>
            <w:right w:val="none" w:sz="0" w:space="0" w:color="auto"/>
          </w:divBdr>
        </w:div>
        <w:div w:id="74328536">
          <w:marLeft w:val="0"/>
          <w:marRight w:val="0"/>
          <w:marTop w:val="166"/>
          <w:marBottom w:val="166"/>
          <w:divBdr>
            <w:top w:val="none" w:sz="0" w:space="0" w:color="auto"/>
            <w:left w:val="none" w:sz="0" w:space="0" w:color="auto"/>
            <w:bottom w:val="none" w:sz="0" w:space="0" w:color="auto"/>
            <w:right w:val="none" w:sz="0" w:space="0" w:color="auto"/>
          </w:divBdr>
        </w:div>
        <w:div w:id="89199577">
          <w:marLeft w:val="0"/>
          <w:marRight w:val="0"/>
          <w:marTop w:val="166"/>
          <w:marBottom w:val="166"/>
          <w:divBdr>
            <w:top w:val="none" w:sz="0" w:space="0" w:color="auto"/>
            <w:left w:val="none" w:sz="0" w:space="0" w:color="auto"/>
            <w:bottom w:val="none" w:sz="0" w:space="0" w:color="auto"/>
            <w:right w:val="none" w:sz="0" w:space="0" w:color="auto"/>
          </w:divBdr>
        </w:div>
        <w:div w:id="90663004">
          <w:marLeft w:val="0"/>
          <w:marRight w:val="0"/>
          <w:marTop w:val="166"/>
          <w:marBottom w:val="166"/>
          <w:divBdr>
            <w:top w:val="none" w:sz="0" w:space="0" w:color="auto"/>
            <w:left w:val="none" w:sz="0" w:space="0" w:color="auto"/>
            <w:bottom w:val="none" w:sz="0" w:space="0" w:color="auto"/>
            <w:right w:val="none" w:sz="0" w:space="0" w:color="auto"/>
          </w:divBdr>
        </w:div>
        <w:div w:id="93785847">
          <w:marLeft w:val="0"/>
          <w:marRight w:val="0"/>
          <w:marTop w:val="166"/>
          <w:marBottom w:val="166"/>
          <w:divBdr>
            <w:top w:val="none" w:sz="0" w:space="0" w:color="auto"/>
            <w:left w:val="none" w:sz="0" w:space="0" w:color="auto"/>
            <w:bottom w:val="none" w:sz="0" w:space="0" w:color="auto"/>
            <w:right w:val="none" w:sz="0" w:space="0" w:color="auto"/>
          </w:divBdr>
        </w:div>
        <w:div w:id="95249011">
          <w:marLeft w:val="0"/>
          <w:marRight w:val="0"/>
          <w:marTop w:val="166"/>
          <w:marBottom w:val="166"/>
          <w:divBdr>
            <w:top w:val="none" w:sz="0" w:space="0" w:color="auto"/>
            <w:left w:val="none" w:sz="0" w:space="0" w:color="auto"/>
            <w:bottom w:val="none" w:sz="0" w:space="0" w:color="auto"/>
            <w:right w:val="none" w:sz="0" w:space="0" w:color="auto"/>
          </w:divBdr>
        </w:div>
        <w:div w:id="116992512">
          <w:marLeft w:val="0"/>
          <w:marRight w:val="0"/>
          <w:marTop w:val="166"/>
          <w:marBottom w:val="166"/>
          <w:divBdr>
            <w:top w:val="none" w:sz="0" w:space="0" w:color="auto"/>
            <w:left w:val="none" w:sz="0" w:space="0" w:color="auto"/>
            <w:bottom w:val="none" w:sz="0" w:space="0" w:color="auto"/>
            <w:right w:val="none" w:sz="0" w:space="0" w:color="auto"/>
          </w:divBdr>
        </w:div>
        <w:div w:id="117338721">
          <w:marLeft w:val="0"/>
          <w:marRight w:val="0"/>
          <w:marTop w:val="166"/>
          <w:marBottom w:val="166"/>
          <w:divBdr>
            <w:top w:val="none" w:sz="0" w:space="0" w:color="auto"/>
            <w:left w:val="none" w:sz="0" w:space="0" w:color="auto"/>
            <w:bottom w:val="none" w:sz="0" w:space="0" w:color="auto"/>
            <w:right w:val="none" w:sz="0" w:space="0" w:color="auto"/>
          </w:divBdr>
        </w:div>
        <w:div w:id="129439985">
          <w:marLeft w:val="0"/>
          <w:marRight w:val="0"/>
          <w:marTop w:val="166"/>
          <w:marBottom w:val="166"/>
          <w:divBdr>
            <w:top w:val="none" w:sz="0" w:space="0" w:color="auto"/>
            <w:left w:val="none" w:sz="0" w:space="0" w:color="auto"/>
            <w:bottom w:val="none" w:sz="0" w:space="0" w:color="auto"/>
            <w:right w:val="none" w:sz="0" w:space="0" w:color="auto"/>
          </w:divBdr>
        </w:div>
        <w:div w:id="130758873">
          <w:marLeft w:val="0"/>
          <w:marRight w:val="0"/>
          <w:marTop w:val="166"/>
          <w:marBottom w:val="166"/>
          <w:divBdr>
            <w:top w:val="none" w:sz="0" w:space="0" w:color="auto"/>
            <w:left w:val="none" w:sz="0" w:space="0" w:color="auto"/>
            <w:bottom w:val="none" w:sz="0" w:space="0" w:color="auto"/>
            <w:right w:val="none" w:sz="0" w:space="0" w:color="auto"/>
          </w:divBdr>
        </w:div>
        <w:div w:id="140999972">
          <w:marLeft w:val="0"/>
          <w:marRight w:val="0"/>
          <w:marTop w:val="166"/>
          <w:marBottom w:val="166"/>
          <w:divBdr>
            <w:top w:val="none" w:sz="0" w:space="0" w:color="auto"/>
            <w:left w:val="none" w:sz="0" w:space="0" w:color="auto"/>
            <w:bottom w:val="none" w:sz="0" w:space="0" w:color="auto"/>
            <w:right w:val="none" w:sz="0" w:space="0" w:color="auto"/>
          </w:divBdr>
        </w:div>
        <w:div w:id="147479660">
          <w:marLeft w:val="0"/>
          <w:marRight w:val="0"/>
          <w:marTop w:val="166"/>
          <w:marBottom w:val="166"/>
          <w:divBdr>
            <w:top w:val="none" w:sz="0" w:space="0" w:color="auto"/>
            <w:left w:val="none" w:sz="0" w:space="0" w:color="auto"/>
            <w:bottom w:val="none" w:sz="0" w:space="0" w:color="auto"/>
            <w:right w:val="none" w:sz="0" w:space="0" w:color="auto"/>
          </w:divBdr>
        </w:div>
        <w:div w:id="152524199">
          <w:marLeft w:val="0"/>
          <w:marRight w:val="0"/>
          <w:marTop w:val="166"/>
          <w:marBottom w:val="166"/>
          <w:divBdr>
            <w:top w:val="none" w:sz="0" w:space="0" w:color="auto"/>
            <w:left w:val="none" w:sz="0" w:space="0" w:color="auto"/>
            <w:bottom w:val="none" w:sz="0" w:space="0" w:color="auto"/>
            <w:right w:val="none" w:sz="0" w:space="0" w:color="auto"/>
          </w:divBdr>
        </w:div>
        <w:div w:id="179315043">
          <w:marLeft w:val="0"/>
          <w:marRight w:val="0"/>
          <w:marTop w:val="166"/>
          <w:marBottom w:val="166"/>
          <w:divBdr>
            <w:top w:val="none" w:sz="0" w:space="0" w:color="auto"/>
            <w:left w:val="none" w:sz="0" w:space="0" w:color="auto"/>
            <w:bottom w:val="none" w:sz="0" w:space="0" w:color="auto"/>
            <w:right w:val="none" w:sz="0" w:space="0" w:color="auto"/>
          </w:divBdr>
        </w:div>
        <w:div w:id="187068226">
          <w:marLeft w:val="0"/>
          <w:marRight w:val="0"/>
          <w:marTop w:val="166"/>
          <w:marBottom w:val="166"/>
          <w:divBdr>
            <w:top w:val="none" w:sz="0" w:space="0" w:color="auto"/>
            <w:left w:val="none" w:sz="0" w:space="0" w:color="auto"/>
            <w:bottom w:val="none" w:sz="0" w:space="0" w:color="auto"/>
            <w:right w:val="none" w:sz="0" w:space="0" w:color="auto"/>
          </w:divBdr>
        </w:div>
        <w:div w:id="188226390">
          <w:marLeft w:val="0"/>
          <w:marRight w:val="0"/>
          <w:marTop w:val="166"/>
          <w:marBottom w:val="166"/>
          <w:divBdr>
            <w:top w:val="none" w:sz="0" w:space="0" w:color="auto"/>
            <w:left w:val="none" w:sz="0" w:space="0" w:color="auto"/>
            <w:bottom w:val="none" w:sz="0" w:space="0" w:color="auto"/>
            <w:right w:val="none" w:sz="0" w:space="0" w:color="auto"/>
          </w:divBdr>
        </w:div>
        <w:div w:id="191459253">
          <w:marLeft w:val="0"/>
          <w:marRight w:val="0"/>
          <w:marTop w:val="166"/>
          <w:marBottom w:val="166"/>
          <w:divBdr>
            <w:top w:val="none" w:sz="0" w:space="0" w:color="auto"/>
            <w:left w:val="none" w:sz="0" w:space="0" w:color="auto"/>
            <w:bottom w:val="none" w:sz="0" w:space="0" w:color="auto"/>
            <w:right w:val="none" w:sz="0" w:space="0" w:color="auto"/>
          </w:divBdr>
        </w:div>
        <w:div w:id="201019591">
          <w:marLeft w:val="0"/>
          <w:marRight w:val="0"/>
          <w:marTop w:val="166"/>
          <w:marBottom w:val="166"/>
          <w:divBdr>
            <w:top w:val="none" w:sz="0" w:space="0" w:color="auto"/>
            <w:left w:val="none" w:sz="0" w:space="0" w:color="auto"/>
            <w:bottom w:val="none" w:sz="0" w:space="0" w:color="auto"/>
            <w:right w:val="none" w:sz="0" w:space="0" w:color="auto"/>
          </w:divBdr>
        </w:div>
        <w:div w:id="203569004">
          <w:marLeft w:val="0"/>
          <w:marRight w:val="0"/>
          <w:marTop w:val="166"/>
          <w:marBottom w:val="166"/>
          <w:divBdr>
            <w:top w:val="none" w:sz="0" w:space="0" w:color="auto"/>
            <w:left w:val="none" w:sz="0" w:space="0" w:color="auto"/>
            <w:bottom w:val="none" w:sz="0" w:space="0" w:color="auto"/>
            <w:right w:val="none" w:sz="0" w:space="0" w:color="auto"/>
          </w:divBdr>
        </w:div>
        <w:div w:id="209148828">
          <w:marLeft w:val="0"/>
          <w:marRight w:val="0"/>
          <w:marTop w:val="166"/>
          <w:marBottom w:val="166"/>
          <w:divBdr>
            <w:top w:val="none" w:sz="0" w:space="0" w:color="auto"/>
            <w:left w:val="none" w:sz="0" w:space="0" w:color="auto"/>
            <w:bottom w:val="none" w:sz="0" w:space="0" w:color="auto"/>
            <w:right w:val="none" w:sz="0" w:space="0" w:color="auto"/>
          </w:divBdr>
        </w:div>
        <w:div w:id="221059472">
          <w:marLeft w:val="0"/>
          <w:marRight w:val="0"/>
          <w:marTop w:val="166"/>
          <w:marBottom w:val="166"/>
          <w:divBdr>
            <w:top w:val="none" w:sz="0" w:space="0" w:color="auto"/>
            <w:left w:val="none" w:sz="0" w:space="0" w:color="auto"/>
            <w:bottom w:val="none" w:sz="0" w:space="0" w:color="auto"/>
            <w:right w:val="none" w:sz="0" w:space="0" w:color="auto"/>
          </w:divBdr>
        </w:div>
        <w:div w:id="229191210">
          <w:marLeft w:val="0"/>
          <w:marRight w:val="0"/>
          <w:marTop w:val="166"/>
          <w:marBottom w:val="166"/>
          <w:divBdr>
            <w:top w:val="none" w:sz="0" w:space="0" w:color="auto"/>
            <w:left w:val="none" w:sz="0" w:space="0" w:color="auto"/>
            <w:bottom w:val="none" w:sz="0" w:space="0" w:color="auto"/>
            <w:right w:val="none" w:sz="0" w:space="0" w:color="auto"/>
          </w:divBdr>
        </w:div>
        <w:div w:id="233592842">
          <w:marLeft w:val="0"/>
          <w:marRight w:val="0"/>
          <w:marTop w:val="166"/>
          <w:marBottom w:val="166"/>
          <w:divBdr>
            <w:top w:val="none" w:sz="0" w:space="0" w:color="auto"/>
            <w:left w:val="none" w:sz="0" w:space="0" w:color="auto"/>
            <w:bottom w:val="none" w:sz="0" w:space="0" w:color="auto"/>
            <w:right w:val="none" w:sz="0" w:space="0" w:color="auto"/>
          </w:divBdr>
        </w:div>
        <w:div w:id="236212617">
          <w:marLeft w:val="0"/>
          <w:marRight w:val="0"/>
          <w:marTop w:val="166"/>
          <w:marBottom w:val="166"/>
          <w:divBdr>
            <w:top w:val="none" w:sz="0" w:space="0" w:color="auto"/>
            <w:left w:val="none" w:sz="0" w:space="0" w:color="auto"/>
            <w:bottom w:val="none" w:sz="0" w:space="0" w:color="auto"/>
            <w:right w:val="none" w:sz="0" w:space="0" w:color="auto"/>
          </w:divBdr>
        </w:div>
        <w:div w:id="236717519">
          <w:marLeft w:val="0"/>
          <w:marRight w:val="0"/>
          <w:marTop w:val="166"/>
          <w:marBottom w:val="166"/>
          <w:divBdr>
            <w:top w:val="none" w:sz="0" w:space="0" w:color="auto"/>
            <w:left w:val="none" w:sz="0" w:space="0" w:color="auto"/>
            <w:bottom w:val="none" w:sz="0" w:space="0" w:color="auto"/>
            <w:right w:val="none" w:sz="0" w:space="0" w:color="auto"/>
          </w:divBdr>
        </w:div>
        <w:div w:id="239022576">
          <w:marLeft w:val="0"/>
          <w:marRight w:val="0"/>
          <w:marTop w:val="166"/>
          <w:marBottom w:val="166"/>
          <w:divBdr>
            <w:top w:val="none" w:sz="0" w:space="0" w:color="auto"/>
            <w:left w:val="none" w:sz="0" w:space="0" w:color="auto"/>
            <w:bottom w:val="none" w:sz="0" w:space="0" w:color="auto"/>
            <w:right w:val="none" w:sz="0" w:space="0" w:color="auto"/>
          </w:divBdr>
        </w:div>
        <w:div w:id="240062621">
          <w:marLeft w:val="0"/>
          <w:marRight w:val="0"/>
          <w:marTop w:val="166"/>
          <w:marBottom w:val="166"/>
          <w:divBdr>
            <w:top w:val="none" w:sz="0" w:space="0" w:color="auto"/>
            <w:left w:val="none" w:sz="0" w:space="0" w:color="auto"/>
            <w:bottom w:val="none" w:sz="0" w:space="0" w:color="auto"/>
            <w:right w:val="none" w:sz="0" w:space="0" w:color="auto"/>
          </w:divBdr>
        </w:div>
        <w:div w:id="242027639">
          <w:marLeft w:val="0"/>
          <w:marRight w:val="0"/>
          <w:marTop w:val="166"/>
          <w:marBottom w:val="166"/>
          <w:divBdr>
            <w:top w:val="none" w:sz="0" w:space="0" w:color="auto"/>
            <w:left w:val="none" w:sz="0" w:space="0" w:color="auto"/>
            <w:bottom w:val="none" w:sz="0" w:space="0" w:color="auto"/>
            <w:right w:val="none" w:sz="0" w:space="0" w:color="auto"/>
          </w:divBdr>
        </w:div>
        <w:div w:id="247545294">
          <w:marLeft w:val="0"/>
          <w:marRight w:val="0"/>
          <w:marTop w:val="166"/>
          <w:marBottom w:val="166"/>
          <w:divBdr>
            <w:top w:val="none" w:sz="0" w:space="0" w:color="auto"/>
            <w:left w:val="none" w:sz="0" w:space="0" w:color="auto"/>
            <w:bottom w:val="none" w:sz="0" w:space="0" w:color="auto"/>
            <w:right w:val="none" w:sz="0" w:space="0" w:color="auto"/>
          </w:divBdr>
        </w:div>
        <w:div w:id="273247786">
          <w:marLeft w:val="0"/>
          <w:marRight w:val="0"/>
          <w:marTop w:val="166"/>
          <w:marBottom w:val="166"/>
          <w:divBdr>
            <w:top w:val="none" w:sz="0" w:space="0" w:color="auto"/>
            <w:left w:val="none" w:sz="0" w:space="0" w:color="auto"/>
            <w:bottom w:val="none" w:sz="0" w:space="0" w:color="auto"/>
            <w:right w:val="none" w:sz="0" w:space="0" w:color="auto"/>
          </w:divBdr>
        </w:div>
        <w:div w:id="280843075">
          <w:marLeft w:val="0"/>
          <w:marRight w:val="0"/>
          <w:marTop w:val="166"/>
          <w:marBottom w:val="166"/>
          <w:divBdr>
            <w:top w:val="none" w:sz="0" w:space="0" w:color="auto"/>
            <w:left w:val="none" w:sz="0" w:space="0" w:color="auto"/>
            <w:bottom w:val="none" w:sz="0" w:space="0" w:color="auto"/>
            <w:right w:val="none" w:sz="0" w:space="0" w:color="auto"/>
          </w:divBdr>
        </w:div>
        <w:div w:id="290868442">
          <w:marLeft w:val="0"/>
          <w:marRight w:val="0"/>
          <w:marTop w:val="166"/>
          <w:marBottom w:val="166"/>
          <w:divBdr>
            <w:top w:val="none" w:sz="0" w:space="0" w:color="auto"/>
            <w:left w:val="none" w:sz="0" w:space="0" w:color="auto"/>
            <w:bottom w:val="none" w:sz="0" w:space="0" w:color="auto"/>
            <w:right w:val="none" w:sz="0" w:space="0" w:color="auto"/>
          </w:divBdr>
        </w:div>
        <w:div w:id="296103788">
          <w:marLeft w:val="0"/>
          <w:marRight w:val="0"/>
          <w:marTop w:val="166"/>
          <w:marBottom w:val="166"/>
          <w:divBdr>
            <w:top w:val="none" w:sz="0" w:space="0" w:color="auto"/>
            <w:left w:val="none" w:sz="0" w:space="0" w:color="auto"/>
            <w:bottom w:val="none" w:sz="0" w:space="0" w:color="auto"/>
            <w:right w:val="none" w:sz="0" w:space="0" w:color="auto"/>
          </w:divBdr>
        </w:div>
        <w:div w:id="319428897">
          <w:marLeft w:val="0"/>
          <w:marRight w:val="0"/>
          <w:marTop w:val="166"/>
          <w:marBottom w:val="166"/>
          <w:divBdr>
            <w:top w:val="none" w:sz="0" w:space="0" w:color="auto"/>
            <w:left w:val="none" w:sz="0" w:space="0" w:color="auto"/>
            <w:bottom w:val="none" w:sz="0" w:space="0" w:color="auto"/>
            <w:right w:val="none" w:sz="0" w:space="0" w:color="auto"/>
          </w:divBdr>
        </w:div>
        <w:div w:id="324018755">
          <w:marLeft w:val="0"/>
          <w:marRight w:val="0"/>
          <w:marTop w:val="166"/>
          <w:marBottom w:val="166"/>
          <w:divBdr>
            <w:top w:val="none" w:sz="0" w:space="0" w:color="auto"/>
            <w:left w:val="none" w:sz="0" w:space="0" w:color="auto"/>
            <w:bottom w:val="none" w:sz="0" w:space="0" w:color="auto"/>
            <w:right w:val="none" w:sz="0" w:space="0" w:color="auto"/>
          </w:divBdr>
        </w:div>
        <w:div w:id="333804719">
          <w:marLeft w:val="0"/>
          <w:marRight w:val="0"/>
          <w:marTop w:val="166"/>
          <w:marBottom w:val="166"/>
          <w:divBdr>
            <w:top w:val="none" w:sz="0" w:space="0" w:color="auto"/>
            <w:left w:val="none" w:sz="0" w:space="0" w:color="auto"/>
            <w:bottom w:val="none" w:sz="0" w:space="0" w:color="auto"/>
            <w:right w:val="none" w:sz="0" w:space="0" w:color="auto"/>
          </w:divBdr>
        </w:div>
        <w:div w:id="350761580">
          <w:marLeft w:val="0"/>
          <w:marRight w:val="0"/>
          <w:marTop w:val="166"/>
          <w:marBottom w:val="166"/>
          <w:divBdr>
            <w:top w:val="none" w:sz="0" w:space="0" w:color="auto"/>
            <w:left w:val="none" w:sz="0" w:space="0" w:color="auto"/>
            <w:bottom w:val="none" w:sz="0" w:space="0" w:color="auto"/>
            <w:right w:val="none" w:sz="0" w:space="0" w:color="auto"/>
          </w:divBdr>
        </w:div>
        <w:div w:id="352539670">
          <w:marLeft w:val="0"/>
          <w:marRight w:val="0"/>
          <w:marTop w:val="166"/>
          <w:marBottom w:val="166"/>
          <w:divBdr>
            <w:top w:val="none" w:sz="0" w:space="0" w:color="auto"/>
            <w:left w:val="none" w:sz="0" w:space="0" w:color="auto"/>
            <w:bottom w:val="none" w:sz="0" w:space="0" w:color="auto"/>
            <w:right w:val="none" w:sz="0" w:space="0" w:color="auto"/>
          </w:divBdr>
        </w:div>
        <w:div w:id="357199339">
          <w:marLeft w:val="0"/>
          <w:marRight w:val="0"/>
          <w:marTop w:val="166"/>
          <w:marBottom w:val="166"/>
          <w:divBdr>
            <w:top w:val="none" w:sz="0" w:space="0" w:color="auto"/>
            <w:left w:val="none" w:sz="0" w:space="0" w:color="auto"/>
            <w:bottom w:val="none" w:sz="0" w:space="0" w:color="auto"/>
            <w:right w:val="none" w:sz="0" w:space="0" w:color="auto"/>
          </w:divBdr>
        </w:div>
        <w:div w:id="357900862">
          <w:marLeft w:val="0"/>
          <w:marRight w:val="0"/>
          <w:marTop w:val="166"/>
          <w:marBottom w:val="166"/>
          <w:divBdr>
            <w:top w:val="none" w:sz="0" w:space="0" w:color="auto"/>
            <w:left w:val="none" w:sz="0" w:space="0" w:color="auto"/>
            <w:bottom w:val="none" w:sz="0" w:space="0" w:color="auto"/>
            <w:right w:val="none" w:sz="0" w:space="0" w:color="auto"/>
          </w:divBdr>
        </w:div>
        <w:div w:id="363022858">
          <w:marLeft w:val="0"/>
          <w:marRight w:val="0"/>
          <w:marTop w:val="166"/>
          <w:marBottom w:val="166"/>
          <w:divBdr>
            <w:top w:val="none" w:sz="0" w:space="0" w:color="auto"/>
            <w:left w:val="none" w:sz="0" w:space="0" w:color="auto"/>
            <w:bottom w:val="none" w:sz="0" w:space="0" w:color="auto"/>
            <w:right w:val="none" w:sz="0" w:space="0" w:color="auto"/>
          </w:divBdr>
        </w:div>
        <w:div w:id="367148951">
          <w:marLeft w:val="0"/>
          <w:marRight w:val="0"/>
          <w:marTop w:val="166"/>
          <w:marBottom w:val="166"/>
          <w:divBdr>
            <w:top w:val="none" w:sz="0" w:space="0" w:color="auto"/>
            <w:left w:val="none" w:sz="0" w:space="0" w:color="auto"/>
            <w:bottom w:val="none" w:sz="0" w:space="0" w:color="auto"/>
            <w:right w:val="none" w:sz="0" w:space="0" w:color="auto"/>
          </w:divBdr>
        </w:div>
        <w:div w:id="395588572">
          <w:marLeft w:val="0"/>
          <w:marRight w:val="0"/>
          <w:marTop w:val="166"/>
          <w:marBottom w:val="166"/>
          <w:divBdr>
            <w:top w:val="none" w:sz="0" w:space="0" w:color="auto"/>
            <w:left w:val="none" w:sz="0" w:space="0" w:color="auto"/>
            <w:bottom w:val="none" w:sz="0" w:space="0" w:color="auto"/>
            <w:right w:val="none" w:sz="0" w:space="0" w:color="auto"/>
          </w:divBdr>
        </w:div>
        <w:div w:id="407772137">
          <w:marLeft w:val="0"/>
          <w:marRight w:val="0"/>
          <w:marTop w:val="166"/>
          <w:marBottom w:val="166"/>
          <w:divBdr>
            <w:top w:val="none" w:sz="0" w:space="0" w:color="auto"/>
            <w:left w:val="none" w:sz="0" w:space="0" w:color="auto"/>
            <w:bottom w:val="none" w:sz="0" w:space="0" w:color="auto"/>
            <w:right w:val="none" w:sz="0" w:space="0" w:color="auto"/>
          </w:divBdr>
        </w:div>
        <w:div w:id="408770527">
          <w:marLeft w:val="0"/>
          <w:marRight w:val="0"/>
          <w:marTop w:val="166"/>
          <w:marBottom w:val="166"/>
          <w:divBdr>
            <w:top w:val="none" w:sz="0" w:space="0" w:color="auto"/>
            <w:left w:val="none" w:sz="0" w:space="0" w:color="auto"/>
            <w:bottom w:val="none" w:sz="0" w:space="0" w:color="auto"/>
            <w:right w:val="none" w:sz="0" w:space="0" w:color="auto"/>
          </w:divBdr>
        </w:div>
        <w:div w:id="412820987">
          <w:marLeft w:val="0"/>
          <w:marRight w:val="0"/>
          <w:marTop w:val="166"/>
          <w:marBottom w:val="166"/>
          <w:divBdr>
            <w:top w:val="none" w:sz="0" w:space="0" w:color="auto"/>
            <w:left w:val="none" w:sz="0" w:space="0" w:color="auto"/>
            <w:bottom w:val="none" w:sz="0" w:space="0" w:color="auto"/>
            <w:right w:val="none" w:sz="0" w:space="0" w:color="auto"/>
          </w:divBdr>
        </w:div>
        <w:div w:id="417679478">
          <w:marLeft w:val="0"/>
          <w:marRight w:val="0"/>
          <w:marTop w:val="166"/>
          <w:marBottom w:val="166"/>
          <w:divBdr>
            <w:top w:val="none" w:sz="0" w:space="0" w:color="auto"/>
            <w:left w:val="none" w:sz="0" w:space="0" w:color="auto"/>
            <w:bottom w:val="none" w:sz="0" w:space="0" w:color="auto"/>
            <w:right w:val="none" w:sz="0" w:space="0" w:color="auto"/>
          </w:divBdr>
        </w:div>
        <w:div w:id="422918828">
          <w:marLeft w:val="0"/>
          <w:marRight w:val="0"/>
          <w:marTop w:val="166"/>
          <w:marBottom w:val="166"/>
          <w:divBdr>
            <w:top w:val="none" w:sz="0" w:space="0" w:color="auto"/>
            <w:left w:val="none" w:sz="0" w:space="0" w:color="auto"/>
            <w:bottom w:val="none" w:sz="0" w:space="0" w:color="auto"/>
            <w:right w:val="none" w:sz="0" w:space="0" w:color="auto"/>
          </w:divBdr>
        </w:div>
        <w:div w:id="428737087">
          <w:marLeft w:val="0"/>
          <w:marRight w:val="0"/>
          <w:marTop w:val="166"/>
          <w:marBottom w:val="166"/>
          <w:divBdr>
            <w:top w:val="none" w:sz="0" w:space="0" w:color="auto"/>
            <w:left w:val="none" w:sz="0" w:space="0" w:color="auto"/>
            <w:bottom w:val="none" w:sz="0" w:space="0" w:color="auto"/>
            <w:right w:val="none" w:sz="0" w:space="0" w:color="auto"/>
          </w:divBdr>
        </w:div>
        <w:div w:id="429935528">
          <w:marLeft w:val="0"/>
          <w:marRight w:val="0"/>
          <w:marTop w:val="166"/>
          <w:marBottom w:val="166"/>
          <w:divBdr>
            <w:top w:val="none" w:sz="0" w:space="0" w:color="auto"/>
            <w:left w:val="none" w:sz="0" w:space="0" w:color="auto"/>
            <w:bottom w:val="none" w:sz="0" w:space="0" w:color="auto"/>
            <w:right w:val="none" w:sz="0" w:space="0" w:color="auto"/>
          </w:divBdr>
        </w:div>
        <w:div w:id="440534866">
          <w:marLeft w:val="0"/>
          <w:marRight w:val="0"/>
          <w:marTop w:val="166"/>
          <w:marBottom w:val="166"/>
          <w:divBdr>
            <w:top w:val="none" w:sz="0" w:space="0" w:color="auto"/>
            <w:left w:val="none" w:sz="0" w:space="0" w:color="auto"/>
            <w:bottom w:val="none" w:sz="0" w:space="0" w:color="auto"/>
            <w:right w:val="none" w:sz="0" w:space="0" w:color="auto"/>
          </w:divBdr>
        </w:div>
        <w:div w:id="446974514">
          <w:marLeft w:val="0"/>
          <w:marRight w:val="0"/>
          <w:marTop w:val="166"/>
          <w:marBottom w:val="166"/>
          <w:divBdr>
            <w:top w:val="none" w:sz="0" w:space="0" w:color="auto"/>
            <w:left w:val="none" w:sz="0" w:space="0" w:color="auto"/>
            <w:bottom w:val="none" w:sz="0" w:space="0" w:color="auto"/>
            <w:right w:val="none" w:sz="0" w:space="0" w:color="auto"/>
          </w:divBdr>
        </w:div>
        <w:div w:id="449709209">
          <w:marLeft w:val="0"/>
          <w:marRight w:val="0"/>
          <w:marTop w:val="166"/>
          <w:marBottom w:val="166"/>
          <w:divBdr>
            <w:top w:val="none" w:sz="0" w:space="0" w:color="auto"/>
            <w:left w:val="none" w:sz="0" w:space="0" w:color="auto"/>
            <w:bottom w:val="none" w:sz="0" w:space="0" w:color="auto"/>
            <w:right w:val="none" w:sz="0" w:space="0" w:color="auto"/>
          </w:divBdr>
        </w:div>
        <w:div w:id="469441520">
          <w:marLeft w:val="0"/>
          <w:marRight w:val="0"/>
          <w:marTop w:val="166"/>
          <w:marBottom w:val="166"/>
          <w:divBdr>
            <w:top w:val="none" w:sz="0" w:space="0" w:color="auto"/>
            <w:left w:val="none" w:sz="0" w:space="0" w:color="auto"/>
            <w:bottom w:val="none" w:sz="0" w:space="0" w:color="auto"/>
            <w:right w:val="none" w:sz="0" w:space="0" w:color="auto"/>
          </w:divBdr>
        </w:div>
        <w:div w:id="473916996">
          <w:marLeft w:val="0"/>
          <w:marRight w:val="0"/>
          <w:marTop w:val="166"/>
          <w:marBottom w:val="166"/>
          <w:divBdr>
            <w:top w:val="none" w:sz="0" w:space="0" w:color="auto"/>
            <w:left w:val="none" w:sz="0" w:space="0" w:color="auto"/>
            <w:bottom w:val="none" w:sz="0" w:space="0" w:color="auto"/>
            <w:right w:val="none" w:sz="0" w:space="0" w:color="auto"/>
          </w:divBdr>
        </w:div>
        <w:div w:id="486702383">
          <w:marLeft w:val="0"/>
          <w:marRight w:val="0"/>
          <w:marTop w:val="166"/>
          <w:marBottom w:val="166"/>
          <w:divBdr>
            <w:top w:val="none" w:sz="0" w:space="0" w:color="auto"/>
            <w:left w:val="none" w:sz="0" w:space="0" w:color="auto"/>
            <w:bottom w:val="none" w:sz="0" w:space="0" w:color="auto"/>
            <w:right w:val="none" w:sz="0" w:space="0" w:color="auto"/>
          </w:divBdr>
        </w:div>
        <w:div w:id="502816294">
          <w:marLeft w:val="0"/>
          <w:marRight w:val="0"/>
          <w:marTop w:val="166"/>
          <w:marBottom w:val="166"/>
          <w:divBdr>
            <w:top w:val="none" w:sz="0" w:space="0" w:color="auto"/>
            <w:left w:val="none" w:sz="0" w:space="0" w:color="auto"/>
            <w:bottom w:val="none" w:sz="0" w:space="0" w:color="auto"/>
            <w:right w:val="none" w:sz="0" w:space="0" w:color="auto"/>
          </w:divBdr>
        </w:div>
        <w:div w:id="522403185">
          <w:marLeft w:val="0"/>
          <w:marRight w:val="0"/>
          <w:marTop w:val="166"/>
          <w:marBottom w:val="166"/>
          <w:divBdr>
            <w:top w:val="none" w:sz="0" w:space="0" w:color="auto"/>
            <w:left w:val="none" w:sz="0" w:space="0" w:color="auto"/>
            <w:bottom w:val="none" w:sz="0" w:space="0" w:color="auto"/>
            <w:right w:val="none" w:sz="0" w:space="0" w:color="auto"/>
          </w:divBdr>
        </w:div>
        <w:div w:id="530386389">
          <w:marLeft w:val="0"/>
          <w:marRight w:val="0"/>
          <w:marTop w:val="166"/>
          <w:marBottom w:val="166"/>
          <w:divBdr>
            <w:top w:val="none" w:sz="0" w:space="0" w:color="auto"/>
            <w:left w:val="none" w:sz="0" w:space="0" w:color="auto"/>
            <w:bottom w:val="none" w:sz="0" w:space="0" w:color="auto"/>
            <w:right w:val="none" w:sz="0" w:space="0" w:color="auto"/>
          </w:divBdr>
        </w:div>
        <w:div w:id="537280929">
          <w:marLeft w:val="0"/>
          <w:marRight w:val="0"/>
          <w:marTop w:val="166"/>
          <w:marBottom w:val="166"/>
          <w:divBdr>
            <w:top w:val="none" w:sz="0" w:space="0" w:color="auto"/>
            <w:left w:val="none" w:sz="0" w:space="0" w:color="auto"/>
            <w:bottom w:val="none" w:sz="0" w:space="0" w:color="auto"/>
            <w:right w:val="none" w:sz="0" w:space="0" w:color="auto"/>
          </w:divBdr>
        </w:div>
        <w:div w:id="546837453">
          <w:marLeft w:val="0"/>
          <w:marRight w:val="0"/>
          <w:marTop w:val="166"/>
          <w:marBottom w:val="166"/>
          <w:divBdr>
            <w:top w:val="none" w:sz="0" w:space="0" w:color="auto"/>
            <w:left w:val="none" w:sz="0" w:space="0" w:color="auto"/>
            <w:bottom w:val="none" w:sz="0" w:space="0" w:color="auto"/>
            <w:right w:val="none" w:sz="0" w:space="0" w:color="auto"/>
          </w:divBdr>
        </w:div>
        <w:div w:id="591013192">
          <w:marLeft w:val="0"/>
          <w:marRight w:val="0"/>
          <w:marTop w:val="166"/>
          <w:marBottom w:val="166"/>
          <w:divBdr>
            <w:top w:val="none" w:sz="0" w:space="0" w:color="auto"/>
            <w:left w:val="none" w:sz="0" w:space="0" w:color="auto"/>
            <w:bottom w:val="none" w:sz="0" w:space="0" w:color="auto"/>
            <w:right w:val="none" w:sz="0" w:space="0" w:color="auto"/>
          </w:divBdr>
        </w:div>
        <w:div w:id="591355611">
          <w:marLeft w:val="0"/>
          <w:marRight w:val="0"/>
          <w:marTop w:val="166"/>
          <w:marBottom w:val="166"/>
          <w:divBdr>
            <w:top w:val="none" w:sz="0" w:space="0" w:color="auto"/>
            <w:left w:val="none" w:sz="0" w:space="0" w:color="auto"/>
            <w:bottom w:val="none" w:sz="0" w:space="0" w:color="auto"/>
            <w:right w:val="none" w:sz="0" w:space="0" w:color="auto"/>
          </w:divBdr>
        </w:div>
        <w:div w:id="607667109">
          <w:marLeft w:val="0"/>
          <w:marRight w:val="0"/>
          <w:marTop w:val="166"/>
          <w:marBottom w:val="166"/>
          <w:divBdr>
            <w:top w:val="none" w:sz="0" w:space="0" w:color="auto"/>
            <w:left w:val="none" w:sz="0" w:space="0" w:color="auto"/>
            <w:bottom w:val="none" w:sz="0" w:space="0" w:color="auto"/>
            <w:right w:val="none" w:sz="0" w:space="0" w:color="auto"/>
          </w:divBdr>
        </w:div>
        <w:div w:id="608005808">
          <w:marLeft w:val="0"/>
          <w:marRight w:val="0"/>
          <w:marTop w:val="166"/>
          <w:marBottom w:val="166"/>
          <w:divBdr>
            <w:top w:val="none" w:sz="0" w:space="0" w:color="auto"/>
            <w:left w:val="none" w:sz="0" w:space="0" w:color="auto"/>
            <w:bottom w:val="none" w:sz="0" w:space="0" w:color="auto"/>
            <w:right w:val="none" w:sz="0" w:space="0" w:color="auto"/>
          </w:divBdr>
        </w:div>
        <w:div w:id="616332638">
          <w:marLeft w:val="0"/>
          <w:marRight w:val="0"/>
          <w:marTop w:val="166"/>
          <w:marBottom w:val="166"/>
          <w:divBdr>
            <w:top w:val="none" w:sz="0" w:space="0" w:color="auto"/>
            <w:left w:val="none" w:sz="0" w:space="0" w:color="auto"/>
            <w:bottom w:val="none" w:sz="0" w:space="0" w:color="auto"/>
            <w:right w:val="none" w:sz="0" w:space="0" w:color="auto"/>
          </w:divBdr>
        </w:div>
        <w:div w:id="625626939">
          <w:marLeft w:val="0"/>
          <w:marRight w:val="0"/>
          <w:marTop w:val="166"/>
          <w:marBottom w:val="166"/>
          <w:divBdr>
            <w:top w:val="none" w:sz="0" w:space="0" w:color="auto"/>
            <w:left w:val="none" w:sz="0" w:space="0" w:color="auto"/>
            <w:bottom w:val="none" w:sz="0" w:space="0" w:color="auto"/>
            <w:right w:val="none" w:sz="0" w:space="0" w:color="auto"/>
          </w:divBdr>
        </w:div>
        <w:div w:id="638730099">
          <w:marLeft w:val="0"/>
          <w:marRight w:val="0"/>
          <w:marTop w:val="166"/>
          <w:marBottom w:val="166"/>
          <w:divBdr>
            <w:top w:val="none" w:sz="0" w:space="0" w:color="auto"/>
            <w:left w:val="none" w:sz="0" w:space="0" w:color="auto"/>
            <w:bottom w:val="none" w:sz="0" w:space="0" w:color="auto"/>
            <w:right w:val="none" w:sz="0" w:space="0" w:color="auto"/>
          </w:divBdr>
        </w:div>
        <w:div w:id="672269480">
          <w:marLeft w:val="0"/>
          <w:marRight w:val="0"/>
          <w:marTop w:val="166"/>
          <w:marBottom w:val="166"/>
          <w:divBdr>
            <w:top w:val="none" w:sz="0" w:space="0" w:color="auto"/>
            <w:left w:val="none" w:sz="0" w:space="0" w:color="auto"/>
            <w:bottom w:val="none" w:sz="0" w:space="0" w:color="auto"/>
            <w:right w:val="none" w:sz="0" w:space="0" w:color="auto"/>
          </w:divBdr>
        </w:div>
        <w:div w:id="690035111">
          <w:marLeft w:val="0"/>
          <w:marRight w:val="0"/>
          <w:marTop w:val="166"/>
          <w:marBottom w:val="166"/>
          <w:divBdr>
            <w:top w:val="none" w:sz="0" w:space="0" w:color="auto"/>
            <w:left w:val="none" w:sz="0" w:space="0" w:color="auto"/>
            <w:bottom w:val="none" w:sz="0" w:space="0" w:color="auto"/>
            <w:right w:val="none" w:sz="0" w:space="0" w:color="auto"/>
          </w:divBdr>
        </w:div>
        <w:div w:id="714162292">
          <w:marLeft w:val="0"/>
          <w:marRight w:val="0"/>
          <w:marTop w:val="166"/>
          <w:marBottom w:val="166"/>
          <w:divBdr>
            <w:top w:val="none" w:sz="0" w:space="0" w:color="auto"/>
            <w:left w:val="none" w:sz="0" w:space="0" w:color="auto"/>
            <w:bottom w:val="none" w:sz="0" w:space="0" w:color="auto"/>
            <w:right w:val="none" w:sz="0" w:space="0" w:color="auto"/>
          </w:divBdr>
        </w:div>
        <w:div w:id="715467936">
          <w:marLeft w:val="0"/>
          <w:marRight w:val="0"/>
          <w:marTop w:val="166"/>
          <w:marBottom w:val="166"/>
          <w:divBdr>
            <w:top w:val="none" w:sz="0" w:space="0" w:color="auto"/>
            <w:left w:val="none" w:sz="0" w:space="0" w:color="auto"/>
            <w:bottom w:val="none" w:sz="0" w:space="0" w:color="auto"/>
            <w:right w:val="none" w:sz="0" w:space="0" w:color="auto"/>
          </w:divBdr>
        </w:div>
        <w:div w:id="719206219">
          <w:marLeft w:val="0"/>
          <w:marRight w:val="0"/>
          <w:marTop w:val="166"/>
          <w:marBottom w:val="166"/>
          <w:divBdr>
            <w:top w:val="none" w:sz="0" w:space="0" w:color="auto"/>
            <w:left w:val="none" w:sz="0" w:space="0" w:color="auto"/>
            <w:bottom w:val="none" w:sz="0" w:space="0" w:color="auto"/>
            <w:right w:val="none" w:sz="0" w:space="0" w:color="auto"/>
          </w:divBdr>
        </w:div>
        <w:div w:id="744373147">
          <w:marLeft w:val="0"/>
          <w:marRight w:val="0"/>
          <w:marTop w:val="166"/>
          <w:marBottom w:val="166"/>
          <w:divBdr>
            <w:top w:val="none" w:sz="0" w:space="0" w:color="auto"/>
            <w:left w:val="none" w:sz="0" w:space="0" w:color="auto"/>
            <w:bottom w:val="none" w:sz="0" w:space="0" w:color="auto"/>
            <w:right w:val="none" w:sz="0" w:space="0" w:color="auto"/>
          </w:divBdr>
        </w:div>
        <w:div w:id="745999941">
          <w:marLeft w:val="0"/>
          <w:marRight w:val="0"/>
          <w:marTop w:val="166"/>
          <w:marBottom w:val="166"/>
          <w:divBdr>
            <w:top w:val="none" w:sz="0" w:space="0" w:color="auto"/>
            <w:left w:val="none" w:sz="0" w:space="0" w:color="auto"/>
            <w:bottom w:val="none" w:sz="0" w:space="0" w:color="auto"/>
            <w:right w:val="none" w:sz="0" w:space="0" w:color="auto"/>
          </w:divBdr>
        </w:div>
        <w:div w:id="750588740">
          <w:marLeft w:val="0"/>
          <w:marRight w:val="0"/>
          <w:marTop w:val="166"/>
          <w:marBottom w:val="166"/>
          <w:divBdr>
            <w:top w:val="none" w:sz="0" w:space="0" w:color="auto"/>
            <w:left w:val="none" w:sz="0" w:space="0" w:color="auto"/>
            <w:bottom w:val="none" w:sz="0" w:space="0" w:color="auto"/>
            <w:right w:val="none" w:sz="0" w:space="0" w:color="auto"/>
          </w:divBdr>
        </w:div>
        <w:div w:id="771391161">
          <w:marLeft w:val="0"/>
          <w:marRight w:val="0"/>
          <w:marTop w:val="166"/>
          <w:marBottom w:val="166"/>
          <w:divBdr>
            <w:top w:val="none" w:sz="0" w:space="0" w:color="auto"/>
            <w:left w:val="none" w:sz="0" w:space="0" w:color="auto"/>
            <w:bottom w:val="none" w:sz="0" w:space="0" w:color="auto"/>
            <w:right w:val="none" w:sz="0" w:space="0" w:color="auto"/>
          </w:divBdr>
        </w:div>
        <w:div w:id="788202029">
          <w:marLeft w:val="0"/>
          <w:marRight w:val="0"/>
          <w:marTop w:val="166"/>
          <w:marBottom w:val="166"/>
          <w:divBdr>
            <w:top w:val="none" w:sz="0" w:space="0" w:color="auto"/>
            <w:left w:val="none" w:sz="0" w:space="0" w:color="auto"/>
            <w:bottom w:val="none" w:sz="0" w:space="0" w:color="auto"/>
            <w:right w:val="none" w:sz="0" w:space="0" w:color="auto"/>
          </w:divBdr>
        </w:div>
        <w:div w:id="796338231">
          <w:marLeft w:val="0"/>
          <w:marRight w:val="0"/>
          <w:marTop w:val="166"/>
          <w:marBottom w:val="166"/>
          <w:divBdr>
            <w:top w:val="none" w:sz="0" w:space="0" w:color="auto"/>
            <w:left w:val="none" w:sz="0" w:space="0" w:color="auto"/>
            <w:bottom w:val="none" w:sz="0" w:space="0" w:color="auto"/>
            <w:right w:val="none" w:sz="0" w:space="0" w:color="auto"/>
          </w:divBdr>
        </w:div>
        <w:div w:id="803351997">
          <w:marLeft w:val="0"/>
          <w:marRight w:val="0"/>
          <w:marTop w:val="166"/>
          <w:marBottom w:val="166"/>
          <w:divBdr>
            <w:top w:val="none" w:sz="0" w:space="0" w:color="auto"/>
            <w:left w:val="none" w:sz="0" w:space="0" w:color="auto"/>
            <w:bottom w:val="none" w:sz="0" w:space="0" w:color="auto"/>
            <w:right w:val="none" w:sz="0" w:space="0" w:color="auto"/>
          </w:divBdr>
        </w:div>
        <w:div w:id="811823782">
          <w:marLeft w:val="0"/>
          <w:marRight w:val="0"/>
          <w:marTop w:val="166"/>
          <w:marBottom w:val="166"/>
          <w:divBdr>
            <w:top w:val="none" w:sz="0" w:space="0" w:color="auto"/>
            <w:left w:val="none" w:sz="0" w:space="0" w:color="auto"/>
            <w:bottom w:val="none" w:sz="0" w:space="0" w:color="auto"/>
            <w:right w:val="none" w:sz="0" w:space="0" w:color="auto"/>
          </w:divBdr>
        </w:div>
        <w:div w:id="834029072">
          <w:marLeft w:val="0"/>
          <w:marRight w:val="0"/>
          <w:marTop w:val="166"/>
          <w:marBottom w:val="166"/>
          <w:divBdr>
            <w:top w:val="none" w:sz="0" w:space="0" w:color="auto"/>
            <w:left w:val="none" w:sz="0" w:space="0" w:color="auto"/>
            <w:bottom w:val="none" w:sz="0" w:space="0" w:color="auto"/>
            <w:right w:val="none" w:sz="0" w:space="0" w:color="auto"/>
          </w:divBdr>
        </w:div>
        <w:div w:id="837427890">
          <w:marLeft w:val="0"/>
          <w:marRight w:val="0"/>
          <w:marTop w:val="166"/>
          <w:marBottom w:val="166"/>
          <w:divBdr>
            <w:top w:val="none" w:sz="0" w:space="0" w:color="auto"/>
            <w:left w:val="none" w:sz="0" w:space="0" w:color="auto"/>
            <w:bottom w:val="none" w:sz="0" w:space="0" w:color="auto"/>
            <w:right w:val="none" w:sz="0" w:space="0" w:color="auto"/>
          </w:divBdr>
        </w:div>
        <w:div w:id="843936727">
          <w:marLeft w:val="0"/>
          <w:marRight w:val="0"/>
          <w:marTop w:val="166"/>
          <w:marBottom w:val="166"/>
          <w:divBdr>
            <w:top w:val="none" w:sz="0" w:space="0" w:color="auto"/>
            <w:left w:val="none" w:sz="0" w:space="0" w:color="auto"/>
            <w:bottom w:val="none" w:sz="0" w:space="0" w:color="auto"/>
            <w:right w:val="none" w:sz="0" w:space="0" w:color="auto"/>
          </w:divBdr>
        </w:div>
        <w:div w:id="856162659">
          <w:marLeft w:val="0"/>
          <w:marRight w:val="0"/>
          <w:marTop w:val="166"/>
          <w:marBottom w:val="166"/>
          <w:divBdr>
            <w:top w:val="none" w:sz="0" w:space="0" w:color="auto"/>
            <w:left w:val="none" w:sz="0" w:space="0" w:color="auto"/>
            <w:bottom w:val="none" w:sz="0" w:space="0" w:color="auto"/>
            <w:right w:val="none" w:sz="0" w:space="0" w:color="auto"/>
          </w:divBdr>
        </w:div>
        <w:div w:id="865095217">
          <w:marLeft w:val="0"/>
          <w:marRight w:val="0"/>
          <w:marTop w:val="166"/>
          <w:marBottom w:val="166"/>
          <w:divBdr>
            <w:top w:val="none" w:sz="0" w:space="0" w:color="auto"/>
            <w:left w:val="none" w:sz="0" w:space="0" w:color="auto"/>
            <w:bottom w:val="none" w:sz="0" w:space="0" w:color="auto"/>
            <w:right w:val="none" w:sz="0" w:space="0" w:color="auto"/>
          </w:divBdr>
        </w:div>
        <w:div w:id="870149305">
          <w:marLeft w:val="0"/>
          <w:marRight w:val="0"/>
          <w:marTop w:val="166"/>
          <w:marBottom w:val="166"/>
          <w:divBdr>
            <w:top w:val="none" w:sz="0" w:space="0" w:color="auto"/>
            <w:left w:val="none" w:sz="0" w:space="0" w:color="auto"/>
            <w:bottom w:val="none" w:sz="0" w:space="0" w:color="auto"/>
            <w:right w:val="none" w:sz="0" w:space="0" w:color="auto"/>
          </w:divBdr>
        </w:div>
        <w:div w:id="874930725">
          <w:marLeft w:val="0"/>
          <w:marRight w:val="0"/>
          <w:marTop w:val="166"/>
          <w:marBottom w:val="166"/>
          <w:divBdr>
            <w:top w:val="none" w:sz="0" w:space="0" w:color="auto"/>
            <w:left w:val="none" w:sz="0" w:space="0" w:color="auto"/>
            <w:bottom w:val="none" w:sz="0" w:space="0" w:color="auto"/>
            <w:right w:val="none" w:sz="0" w:space="0" w:color="auto"/>
          </w:divBdr>
        </w:div>
        <w:div w:id="875194327">
          <w:marLeft w:val="0"/>
          <w:marRight w:val="0"/>
          <w:marTop w:val="166"/>
          <w:marBottom w:val="166"/>
          <w:divBdr>
            <w:top w:val="none" w:sz="0" w:space="0" w:color="auto"/>
            <w:left w:val="none" w:sz="0" w:space="0" w:color="auto"/>
            <w:bottom w:val="none" w:sz="0" w:space="0" w:color="auto"/>
            <w:right w:val="none" w:sz="0" w:space="0" w:color="auto"/>
          </w:divBdr>
        </w:div>
        <w:div w:id="885988583">
          <w:marLeft w:val="0"/>
          <w:marRight w:val="0"/>
          <w:marTop w:val="166"/>
          <w:marBottom w:val="166"/>
          <w:divBdr>
            <w:top w:val="none" w:sz="0" w:space="0" w:color="auto"/>
            <w:left w:val="none" w:sz="0" w:space="0" w:color="auto"/>
            <w:bottom w:val="none" w:sz="0" w:space="0" w:color="auto"/>
            <w:right w:val="none" w:sz="0" w:space="0" w:color="auto"/>
          </w:divBdr>
        </w:div>
        <w:div w:id="902908810">
          <w:marLeft w:val="0"/>
          <w:marRight w:val="0"/>
          <w:marTop w:val="166"/>
          <w:marBottom w:val="166"/>
          <w:divBdr>
            <w:top w:val="none" w:sz="0" w:space="0" w:color="auto"/>
            <w:left w:val="none" w:sz="0" w:space="0" w:color="auto"/>
            <w:bottom w:val="none" w:sz="0" w:space="0" w:color="auto"/>
            <w:right w:val="none" w:sz="0" w:space="0" w:color="auto"/>
          </w:divBdr>
        </w:div>
        <w:div w:id="903637986">
          <w:marLeft w:val="0"/>
          <w:marRight w:val="0"/>
          <w:marTop w:val="166"/>
          <w:marBottom w:val="166"/>
          <w:divBdr>
            <w:top w:val="none" w:sz="0" w:space="0" w:color="auto"/>
            <w:left w:val="none" w:sz="0" w:space="0" w:color="auto"/>
            <w:bottom w:val="none" w:sz="0" w:space="0" w:color="auto"/>
            <w:right w:val="none" w:sz="0" w:space="0" w:color="auto"/>
          </w:divBdr>
        </w:div>
        <w:div w:id="904756288">
          <w:marLeft w:val="0"/>
          <w:marRight w:val="0"/>
          <w:marTop w:val="166"/>
          <w:marBottom w:val="166"/>
          <w:divBdr>
            <w:top w:val="none" w:sz="0" w:space="0" w:color="auto"/>
            <w:left w:val="none" w:sz="0" w:space="0" w:color="auto"/>
            <w:bottom w:val="none" w:sz="0" w:space="0" w:color="auto"/>
            <w:right w:val="none" w:sz="0" w:space="0" w:color="auto"/>
          </w:divBdr>
        </w:div>
        <w:div w:id="906501715">
          <w:marLeft w:val="0"/>
          <w:marRight w:val="0"/>
          <w:marTop w:val="166"/>
          <w:marBottom w:val="166"/>
          <w:divBdr>
            <w:top w:val="none" w:sz="0" w:space="0" w:color="auto"/>
            <w:left w:val="none" w:sz="0" w:space="0" w:color="auto"/>
            <w:bottom w:val="none" w:sz="0" w:space="0" w:color="auto"/>
            <w:right w:val="none" w:sz="0" w:space="0" w:color="auto"/>
          </w:divBdr>
        </w:div>
        <w:div w:id="912281040">
          <w:marLeft w:val="0"/>
          <w:marRight w:val="0"/>
          <w:marTop w:val="166"/>
          <w:marBottom w:val="166"/>
          <w:divBdr>
            <w:top w:val="none" w:sz="0" w:space="0" w:color="auto"/>
            <w:left w:val="none" w:sz="0" w:space="0" w:color="auto"/>
            <w:bottom w:val="none" w:sz="0" w:space="0" w:color="auto"/>
            <w:right w:val="none" w:sz="0" w:space="0" w:color="auto"/>
          </w:divBdr>
        </w:div>
        <w:div w:id="914362439">
          <w:marLeft w:val="0"/>
          <w:marRight w:val="0"/>
          <w:marTop w:val="166"/>
          <w:marBottom w:val="166"/>
          <w:divBdr>
            <w:top w:val="none" w:sz="0" w:space="0" w:color="auto"/>
            <w:left w:val="none" w:sz="0" w:space="0" w:color="auto"/>
            <w:bottom w:val="none" w:sz="0" w:space="0" w:color="auto"/>
            <w:right w:val="none" w:sz="0" w:space="0" w:color="auto"/>
          </w:divBdr>
        </w:div>
        <w:div w:id="919489826">
          <w:marLeft w:val="0"/>
          <w:marRight w:val="0"/>
          <w:marTop w:val="166"/>
          <w:marBottom w:val="166"/>
          <w:divBdr>
            <w:top w:val="none" w:sz="0" w:space="0" w:color="auto"/>
            <w:left w:val="none" w:sz="0" w:space="0" w:color="auto"/>
            <w:bottom w:val="none" w:sz="0" w:space="0" w:color="auto"/>
            <w:right w:val="none" w:sz="0" w:space="0" w:color="auto"/>
          </w:divBdr>
        </w:div>
        <w:div w:id="934047346">
          <w:marLeft w:val="0"/>
          <w:marRight w:val="0"/>
          <w:marTop w:val="166"/>
          <w:marBottom w:val="166"/>
          <w:divBdr>
            <w:top w:val="none" w:sz="0" w:space="0" w:color="auto"/>
            <w:left w:val="none" w:sz="0" w:space="0" w:color="auto"/>
            <w:bottom w:val="none" w:sz="0" w:space="0" w:color="auto"/>
            <w:right w:val="none" w:sz="0" w:space="0" w:color="auto"/>
          </w:divBdr>
        </w:div>
        <w:div w:id="934241188">
          <w:marLeft w:val="0"/>
          <w:marRight w:val="0"/>
          <w:marTop w:val="166"/>
          <w:marBottom w:val="166"/>
          <w:divBdr>
            <w:top w:val="none" w:sz="0" w:space="0" w:color="auto"/>
            <w:left w:val="none" w:sz="0" w:space="0" w:color="auto"/>
            <w:bottom w:val="none" w:sz="0" w:space="0" w:color="auto"/>
            <w:right w:val="none" w:sz="0" w:space="0" w:color="auto"/>
          </w:divBdr>
        </w:div>
        <w:div w:id="952128415">
          <w:marLeft w:val="0"/>
          <w:marRight w:val="0"/>
          <w:marTop w:val="166"/>
          <w:marBottom w:val="166"/>
          <w:divBdr>
            <w:top w:val="none" w:sz="0" w:space="0" w:color="auto"/>
            <w:left w:val="none" w:sz="0" w:space="0" w:color="auto"/>
            <w:bottom w:val="none" w:sz="0" w:space="0" w:color="auto"/>
            <w:right w:val="none" w:sz="0" w:space="0" w:color="auto"/>
          </w:divBdr>
        </w:div>
        <w:div w:id="958993474">
          <w:marLeft w:val="0"/>
          <w:marRight w:val="0"/>
          <w:marTop w:val="166"/>
          <w:marBottom w:val="166"/>
          <w:divBdr>
            <w:top w:val="none" w:sz="0" w:space="0" w:color="auto"/>
            <w:left w:val="none" w:sz="0" w:space="0" w:color="auto"/>
            <w:bottom w:val="none" w:sz="0" w:space="0" w:color="auto"/>
            <w:right w:val="none" w:sz="0" w:space="0" w:color="auto"/>
          </w:divBdr>
        </w:div>
        <w:div w:id="960188251">
          <w:marLeft w:val="0"/>
          <w:marRight w:val="0"/>
          <w:marTop w:val="166"/>
          <w:marBottom w:val="166"/>
          <w:divBdr>
            <w:top w:val="none" w:sz="0" w:space="0" w:color="auto"/>
            <w:left w:val="none" w:sz="0" w:space="0" w:color="auto"/>
            <w:bottom w:val="none" w:sz="0" w:space="0" w:color="auto"/>
            <w:right w:val="none" w:sz="0" w:space="0" w:color="auto"/>
          </w:divBdr>
        </w:div>
        <w:div w:id="963078002">
          <w:marLeft w:val="0"/>
          <w:marRight w:val="0"/>
          <w:marTop w:val="166"/>
          <w:marBottom w:val="166"/>
          <w:divBdr>
            <w:top w:val="none" w:sz="0" w:space="0" w:color="auto"/>
            <w:left w:val="none" w:sz="0" w:space="0" w:color="auto"/>
            <w:bottom w:val="none" w:sz="0" w:space="0" w:color="auto"/>
            <w:right w:val="none" w:sz="0" w:space="0" w:color="auto"/>
          </w:divBdr>
        </w:div>
        <w:div w:id="965308812">
          <w:marLeft w:val="0"/>
          <w:marRight w:val="0"/>
          <w:marTop w:val="166"/>
          <w:marBottom w:val="166"/>
          <w:divBdr>
            <w:top w:val="none" w:sz="0" w:space="0" w:color="auto"/>
            <w:left w:val="none" w:sz="0" w:space="0" w:color="auto"/>
            <w:bottom w:val="none" w:sz="0" w:space="0" w:color="auto"/>
            <w:right w:val="none" w:sz="0" w:space="0" w:color="auto"/>
          </w:divBdr>
        </w:div>
        <w:div w:id="979723638">
          <w:marLeft w:val="0"/>
          <w:marRight w:val="0"/>
          <w:marTop w:val="166"/>
          <w:marBottom w:val="166"/>
          <w:divBdr>
            <w:top w:val="none" w:sz="0" w:space="0" w:color="auto"/>
            <w:left w:val="none" w:sz="0" w:space="0" w:color="auto"/>
            <w:bottom w:val="none" w:sz="0" w:space="0" w:color="auto"/>
            <w:right w:val="none" w:sz="0" w:space="0" w:color="auto"/>
          </w:divBdr>
        </w:div>
        <w:div w:id="989017881">
          <w:marLeft w:val="0"/>
          <w:marRight w:val="0"/>
          <w:marTop w:val="166"/>
          <w:marBottom w:val="166"/>
          <w:divBdr>
            <w:top w:val="none" w:sz="0" w:space="0" w:color="auto"/>
            <w:left w:val="none" w:sz="0" w:space="0" w:color="auto"/>
            <w:bottom w:val="none" w:sz="0" w:space="0" w:color="auto"/>
            <w:right w:val="none" w:sz="0" w:space="0" w:color="auto"/>
          </w:divBdr>
        </w:div>
        <w:div w:id="995111529">
          <w:marLeft w:val="0"/>
          <w:marRight w:val="0"/>
          <w:marTop w:val="166"/>
          <w:marBottom w:val="166"/>
          <w:divBdr>
            <w:top w:val="none" w:sz="0" w:space="0" w:color="auto"/>
            <w:left w:val="none" w:sz="0" w:space="0" w:color="auto"/>
            <w:bottom w:val="none" w:sz="0" w:space="0" w:color="auto"/>
            <w:right w:val="none" w:sz="0" w:space="0" w:color="auto"/>
          </w:divBdr>
        </w:div>
        <w:div w:id="1006128915">
          <w:marLeft w:val="0"/>
          <w:marRight w:val="0"/>
          <w:marTop w:val="166"/>
          <w:marBottom w:val="166"/>
          <w:divBdr>
            <w:top w:val="none" w:sz="0" w:space="0" w:color="auto"/>
            <w:left w:val="none" w:sz="0" w:space="0" w:color="auto"/>
            <w:bottom w:val="none" w:sz="0" w:space="0" w:color="auto"/>
            <w:right w:val="none" w:sz="0" w:space="0" w:color="auto"/>
          </w:divBdr>
        </w:div>
        <w:div w:id="1008874072">
          <w:marLeft w:val="0"/>
          <w:marRight w:val="0"/>
          <w:marTop w:val="166"/>
          <w:marBottom w:val="166"/>
          <w:divBdr>
            <w:top w:val="none" w:sz="0" w:space="0" w:color="auto"/>
            <w:left w:val="none" w:sz="0" w:space="0" w:color="auto"/>
            <w:bottom w:val="none" w:sz="0" w:space="0" w:color="auto"/>
            <w:right w:val="none" w:sz="0" w:space="0" w:color="auto"/>
          </w:divBdr>
        </w:div>
        <w:div w:id="1015696506">
          <w:marLeft w:val="0"/>
          <w:marRight w:val="0"/>
          <w:marTop w:val="166"/>
          <w:marBottom w:val="166"/>
          <w:divBdr>
            <w:top w:val="none" w:sz="0" w:space="0" w:color="auto"/>
            <w:left w:val="none" w:sz="0" w:space="0" w:color="auto"/>
            <w:bottom w:val="none" w:sz="0" w:space="0" w:color="auto"/>
            <w:right w:val="none" w:sz="0" w:space="0" w:color="auto"/>
          </w:divBdr>
        </w:div>
        <w:div w:id="1029449249">
          <w:marLeft w:val="0"/>
          <w:marRight w:val="0"/>
          <w:marTop w:val="166"/>
          <w:marBottom w:val="166"/>
          <w:divBdr>
            <w:top w:val="none" w:sz="0" w:space="0" w:color="auto"/>
            <w:left w:val="none" w:sz="0" w:space="0" w:color="auto"/>
            <w:bottom w:val="none" w:sz="0" w:space="0" w:color="auto"/>
            <w:right w:val="none" w:sz="0" w:space="0" w:color="auto"/>
          </w:divBdr>
        </w:div>
        <w:div w:id="1030913233">
          <w:marLeft w:val="0"/>
          <w:marRight w:val="0"/>
          <w:marTop w:val="166"/>
          <w:marBottom w:val="166"/>
          <w:divBdr>
            <w:top w:val="none" w:sz="0" w:space="0" w:color="auto"/>
            <w:left w:val="none" w:sz="0" w:space="0" w:color="auto"/>
            <w:bottom w:val="none" w:sz="0" w:space="0" w:color="auto"/>
            <w:right w:val="none" w:sz="0" w:space="0" w:color="auto"/>
          </w:divBdr>
        </w:div>
        <w:div w:id="1035036982">
          <w:marLeft w:val="0"/>
          <w:marRight w:val="0"/>
          <w:marTop w:val="166"/>
          <w:marBottom w:val="166"/>
          <w:divBdr>
            <w:top w:val="none" w:sz="0" w:space="0" w:color="auto"/>
            <w:left w:val="none" w:sz="0" w:space="0" w:color="auto"/>
            <w:bottom w:val="none" w:sz="0" w:space="0" w:color="auto"/>
            <w:right w:val="none" w:sz="0" w:space="0" w:color="auto"/>
          </w:divBdr>
        </w:div>
        <w:div w:id="1036585739">
          <w:marLeft w:val="0"/>
          <w:marRight w:val="0"/>
          <w:marTop w:val="166"/>
          <w:marBottom w:val="166"/>
          <w:divBdr>
            <w:top w:val="none" w:sz="0" w:space="0" w:color="auto"/>
            <w:left w:val="none" w:sz="0" w:space="0" w:color="auto"/>
            <w:bottom w:val="none" w:sz="0" w:space="0" w:color="auto"/>
            <w:right w:val="none" w:sz="0" w:space="0" w:color="auto"/>
          </w:divBdr>
        </w:div>
        <w:div w:id="1037122370">
          <w:marLeft w:val="0"/>
          <w:marRight w:val="0"/>
          <w:marTop w:val="166"/>
          <w:marBottom w:val="166"/>
          <w:divBdr>
            <w:top w:val="none" w:sz="0" w:space="0" w:color="auto"/>
            <w:left w:val="none" w:sz="0" w:space="0" w:color="auto"/>
            <w:bottom w:val="none" w:sz="0" w:space="0" w:color="auto"/>
            <w:right w:val="none" w:sz="0" w:space="0" w:color="auto"/>
          </w:divBdr>
        </w:div>
        <w:div w:id="1062866517">
          <w:marLeft w:val="0"/>
          <w:marRight w:val="0"/>
          <w:marTop w:val="166"/>
          <w:marBottom w:val="166"/>
          <w:divBdr>
            <w:top w:val="none" w:sz="0" w:space="0" w:color="auto"/>
            <w:left w:val="none" w:sz="0" w:space="0" w:color="auto"/>
            <w:bottom w:val="none" w:sz="0" w:space="0" w:color="auto"/>
            <w:right w:val="none" w:sz="0" w:space="0" w:color="auto"/>
          </w:divBdr>
        </w:div>
        <w:div w:id="1068304753">
          <w:marLeft w:val="0"/>
          <w:marRight w:val="0"/>
          <w:marTop w:val="166"/>
          <w:marBottom w:val="166"/>
          <w:divBdr>
            <w:top w:val="none" w:sz="0" w:space="0" w:color="auto"/>
            <w:left w:val="none" w:sz="0" w:space="0" w:color="auto"/>
            <w:bottom w:val="none" w:sz="0" w:space="0" w:color="auto"/>
            <w:right w:val="none" w:sz="0" w:space="0" w:color="auto"/>
          </w:divBdr>
        </w:div>
        <w:div w:id="1081483126">
          <w:marLeft w:val="0"/>
          <w:marRight w:val="0"/>
          <w:marTop w:val="166"/>
          <w:marBottom w:val="166"/>
          <w:divBdr>
            <w:top w:val="none" w:sz="0" w:space="0" w:color="auto"/>
            <w:left w:val="none" w:sz="0" w:space="0" w:color="auto"/>
            <w:bottom w:val="none" w:sz="0" w:space="0" w:color="auto"/>
            <w:right w:val="none" w:sz="0" w:space="0" w:color="auto"/>
          </w:divBdr>
        </w:div>
        <w:div w:id="1088506929">
          <w:marLeft w:val="0"/>
          <w:marRight w:val="0"/>
          <w:marTop w:val="166"/>
          <w:marBottom w:val="166"/>
          <w:divBdr>
            <w:top w:val="none" w:sz="0" w:space="0" w:color="auto"/>
            <w:left w:val="none" w:sz="0" w:space="0" w:color="auto"/>
            <w:bottom w:val="none" w:sz="0" w:space="0" w:color="auto"/>
            <w:right w:val="none" w:sz="0" w:space="0" w:color="auto"/>
          </w:divBdr>
        </w:div>
        <w:div w:id="1099369036">
          <w:marLeft w:val="0"/>
          <w:marRight w:val="0"/>
          <w:marTop w:val="166"/>
          <w:marBottom w:val="166"/>
          <w:divBdr>
            <w:top w:val="none" w:sz="0" w:space="0" w:color="auto"/>
            <w:left w:val="none" w:sz="0" w:space="0" w:color="auto"/>
            <w:bottom w:val="none" w:sz="0" w:space="0" w:color="auto"/>
            <w:right w:val="none" w:sz="0" w:space="0" w:color="auto"/>
          </w:divBdr>
        </w:div>
        <w:div w:id="1099518986">
          <w:marLeft w:val="0"/>
          <w:marRight w:val="0"/>
          <w:marTop w:val="166"/>
          <w:marBottom w:val="166"/>
          <w:divBdr>
            <w:top w:val="none" w:sz="0" w:space="0" w:color="auto"/>
            <w:left w:val="none" w:sz="0" w:space="0" w:color="auto"/>
            <w:bottom w:val="none" w:sz="0" w:space="0" w:color="auto"/>
            <w:right w:val="none" w:sz="0" w:space="0" w:color="auto"/>
          </w:divBdr>
        </w:div>
        <w:div w:id="1117020590">
          <w:marLeft w:val="0"/>
          <w:marRight w:val="0"/>
          <w:marTop w:val="166"/>
          <w:marBottom w:val="166"/>
          <w:divBdr>
            <w:top w:val="none" w:sz="0" w:space="0" w:color="auto"/>
            <w:left w:val="none" w:sz="0" w:space="0" w:color="auto"/>
            <w:bottom w:val="none" w:sz="0" w:space="0" w:color="auto"/>
            <w:right w:val="none" w:sz="0" w:space="0" w:color="auto"/>
          </w:divBdr>
        </w:div>
        <w:div w:id="1117144940">
          <w:marLeft w:val="0"/>
          <w:marRight w:val="0"/>
          <w:marTop w:val="166"/>
          <w:marBottom w:val="166"/>
          <w:divBdr>
            <w:top w:val="none" w:sz="0" w:space="0" w:color="auto"/>
            <w:left w:val="none" w:sz="0" w:space="0" w:color="auto"/>
            <w:bottom w:val="none" w:sz="0" w:space="0" w:color="auto"/>
            <w:right w:val="none" w:sz="0" w:space="0" w:color="auto"/>
          </w:divBdr>
        </w:div>
        <w:div w:id="1118840369">
          <w:marLeft w:val="0"/>
          <w:marRight w:val="0"/>
          <w:marTop w:val="166"/>
          <w:marBottom w:val="166"/>
          <w:divBdr>
            <w:top w:val="none" w:sz="0" w:space="0" w:color="auto"/>
            <w:left w:val="none" w:sz="0" w:space="0" w:color="auto"/>
            <w:bottom w:val="none" w:sz="0" w:space="0" w:color="auto"/>
            <w:right w:val="none" w:sz="0" w:space="0" w:color="auto"/>
          </w:divBdr>
        </w:div>
        <w:div w:id="1126504681">
          <w:marLeft w:val="0"/>
          <w:marRight w:val="0"/>
          <w:marTop w:val="166"/>
          <w:marBottom w:val="166"/>
          <w:divBdr>
            <w:top w:val="none" w:sz="0" w:space="0" w:color="auto"/>
            <w:left w:val="none" w:sz="0" w:space="0" w:color="auto"/>
            <w:bottom w:val="none" w:sz="0" w:space="0" w:color="auto"/>
            <w:right w:val="none" w:sz="0" w:space="0" w:color="auto"/>
          </w:divBdr>
        </w:div>
        <w:div w:id="1137801103">
          <w:marLeft w:val="0"/>
          <w:marRight w:val="0"/>
          <w:marTop w:val="166"/>
          <w:marBottom w:val="166"/>
          <w:divBdr>
            <w:top w:val="none" w:sz="0" w:space="0" w:color="auto"/>
            <w:left w:val="none" w:sz="0" w:space="0" w:color="auto"/>
            <w:bottom w:val="none" w:sz="0" w:space="0" w:color="auto"/>
            <w:right w:val="none" w:sz="0" w:space="0" w:color="auto"/>
          </w:divBdr>
        </w:div>
        <w:div w:id="1146237271">
          <w:marLeft w:val="0"/>
          <w:marRight w:val="0"/>
          <w:marTop w:val="166"/>
          <w:marBottom w:val="166"/>
          <w:divBdr>
            <w:top w:val="none" w:sz="0" w:space="0" w:color="auto"/>
            <w:left w:val="none" w:sz="0" w:space="0" w:color="auto"/>
            <w:bottom w:val="none" w:sz="0" w:space="0" w:color="auto"/>
            <w:right w:val="none" w:sz="0" w:space="0" w:color="auto"/>
          </w:divBdr>
        </w:div>
        <w:div w:id="1146438601">
          <w:marLeft w:val="0"/>
          <w:marRight w:val="0"/>
          <w:marTop w:val="166"/>
          <w:marBottom w:val="166"/>
          <w:divBdr>
            <w:top w:val="none" w:sz="0" w:space="0" w:color="auto"/>
            <w:left w:val="none" w:sz="0" w:space="0" w:color="auto"/>
            <w:bottom w:val="none" w:sz="0" w:space="0" w:color="auto"/>
            <w:right w:val="none" w:sz="0" w:space="0" w:color="auto"/>
          </w:divBdr>
        </w:div>
        <w:div w:id="1150900450">
          <w:marLeft w:val="0"/>
          <w:marRight w:val="0"/>
          <w:marTop w:val="166"/>
          <w:marBottom w:val="166"/>
          <w:divBdr>
            <w:top w:val="none" w:sz="0" w:space="0" w:color="auto"/>
            <w:left w:val="none" w:sz="0" w:space="0" w:color="auto"/>
            <w:bottom w:val="none" w:sz="0" w:space="0" w:color="auto"/>
            <w:right w:val="none" w:sz="0" w:space="0" w:color="auto"/>
          </w:divBdr>
        </w:div>
        <w:div w:id="1166090974">
          <w:marLeft w:val="0"/>
          <w:marRight w:val="0"/>
          <w:marTop w:val="166"/>
          <w:marBottom w:val="166"/>
          <w:divBdr>
            <w:top w:val="none" w:sz="0" w:space="0" w:color="auto"/>
            <w:left w:val="none" w:sz="0" w:space="0" w:color="auto"/>
            <w:bottom w:val="none" w:sz="0" w:space="0" w:color="auto"/>
            <w:right w:val="none" w:sz="0" w:space="0" w:color="auto"/>
          </w:divBdr>
        </w:div>
        <w:div w:id="1168443873">
          <w:marLeft w:val="0"/>
          <w:marRight w:val="0"/>
          <w:marTop w:val="166"/>
          <w:marBottom w:val="166"/>
          <w:divBdr>
            <w:top w:val="none" w:sz="0" w:space="0" w:color="auto"/>
            <w:left w:val="none" w:sz="0" w:space="0" w:color="auto"/>
            <w:bottom w:val="none" w:sz="0" w:space="0" w:color="auto"/>
            <w:right w:val="none" w:sz="0" w:space="0" w:color="auto"/>
          </w:divBdr>
        </w:div>
        <w:div w:id="1188324532">
          <w:marLeft w:val="0"/>
          <w:marRight w:val="0"/>
          <w:marTop w:val="166"/>
          <w:marBottom w:val="166"/>
          <w:divBdr>
            <w:top w:val="none" w:sz="0" w:space="0" w:color="auto"/>
            <w:left w:val="none" w:sz="0" w:space="0" w:color="auto"/>
            <w:bottom w:val="none" w:sz="0" w:space="0" w:color="auto"/>
            <w:right w:val="none" w:sz="0" w:space="0" w:color="auto"/>
          </w:divBdr>
        </w:div>
        <w:div w:id="1191650751">
          <w:marLeft w:val="0"/>
          <w:marRight w:val="0"/>
          <w:marTop w:val="166"/>
          <w:marBottom w:val="166"/>
          <w:divBdr>
            <w:top w:val="none" w:sz="0" w:space="0" w:color="auto"/>
            <w:left w:val="none" w:sz="0" w:space="0" w:color="auto"/>
            <w:bottom w:val="none" w:sz="0" w:space="0" w:color="auto"/>
            <w:right w:val="none" w:sz="0" w:space="0" w:color="auto"/>
          </w:divBdr>
        </w:div>
        <w:div w:id="1204902277">
          <w:marLeft w:val="0"/>
          <w:marRight w:val="0"/>
          <w:marTop w:val="166"/>
          <w:marBottom w:val="166"/>
          <w:divBdr>
            <w:top w:val="none" w:sz="0" w:space="0" w:color="auto"/>
            <w:left w:val="none" w:sz="0" w:space="0" w:color="auto"/>
            <w:bottom w:val="none" w:sz="0" w:space="0" w:color="auto"/>
            <w:right w:val="none" w:sz="0" w:space="0" w:color="auto"/>
          </w:divBdr>
        </w:div>
        <w:div w:id="1205169326">
          <w:marLeft w:val="0"/>
          <w:marRight w:val="0"/>
          <w:marTop w:val="166"/>
          <w:marBottom w:val="166"/>
          <w:divBdr>
            <w:top w:val="none" w:sz="0" w:space="0" w:color="auto"/>
            <w:left w:val="none" w:sz="0" w:space="0" w:color="auto"/>
            <w:bottom w:val="none" w:sz="0" w:space="0" w:color="auto"/>
            <w:right w:val="none" w:sz="0" w:space="0" w:color="auto"/>
          </w:divBdr>
        </w:div>
        <w:div w:id="1212573762">
          <w:marLeft w:val="0"/>
          <w:marRight w:val="0"/>
          <w:marTop w:val="166"/>
          <w:marBottom w:val="166"/>
          <w:divBdr>
            <w:top w:val="none" w:sz="0" w:space="0" w:color="auto"/>
            <w:left w:val="none" w:sz="0" w:space="0" w:color="auto"/>
            <w:bottom w:val="none" w:sz="0" w:space="0" w:color="auto"/>
            <w:right w:val="none" w:sz="0" w:space="0" w:color="auto"/>
          </w:divBdr>
        </w:div>
        <w:div w:id="1231040513">
          <w:marLeft w:val="0"/>
          <w:marRight w:val="0"/>
          <w:marTop w:val="166"/>
          <w:marBottom w:val="166"/>
          <w:divBdr>
            <w:top w:val="none" w:sz="0" w:space="0" w:color="auto"/>
            <w:left w:val="none" w:sz="0" w:space="0" w:color="auto"/>
            <w:bottom w:val="none" w:sz="0" w:space="0" w:color="auto"/>
            <w:right w:val="none" w:sz="0" w:space="0" w:color="auto"/>
          </w:divBdr>
        </w:div>
        <w:div w:id="1239439904">
          <w:marLeft w:val="0"/>
          <w:marRight w:val="0"/>
          <w:marTop w:val="166"/>
          <w:marBottom w:val="166"/>
          <w:divBdr>
            <w:top w:val="none" w:sz="0" w:space="0" w:color="auto"/>
            <w:left w:val="none" w:sz="0" w:space="0" w:color="auto"/>
            <w:bottom w:val="none" w:sz="0" w:space="0" w:color="auto"/>
            <w:right w:val="none" w:sz="0" w:space="0" w:color="auto"/>
          </w:divBdr>
        </w:div>
        <w:div w:id="1252398434">
          <w:marLeft w:val="0"/>
          <w:marRight w:val="0"/>
          <w:marTop w:val="166"/>
          <w:marBottom w:val="166"/>
          <w:divBdr>
            <w:top w:val="none" w:sz="0" w:space="0" w:color="auto"/>
            <w:left w:val="none" w:sz="0" w:space="0" w:color="auto"/>
            <w:bottom w:val="none" w:sz="0" w:space="0" w:color="auto"/>
            <w:right w:val="none" w:sz="0" w:space="0" w:color="auto"/>
          </w:divBdr>
        </w:div>
        <w:div w:id="1264607053">
          <w:marLeft w:val="0"/>
          <w:marRight w:val="0"/>
          <w:marTop w:val="166"/>
          <w:marBottom w:val="166"/>
          <w:divBdr>
            <w:top w:val="none" w:sz="0" w:space="0" w:color="auto"/>
            <w:left w:val="none" w:sz="0" w:space="0" w:color="auto"/>
            <w:bottom w:val="none" w:sz="0" w:space="0" w:color="auto"/>
            <w:right w:val="none" w:sz="0" w:space="0" w:color="auto"/>
          </w:divBdr>
        </w:div>
        <w:div w:id="1264651979">
          <w:marLeft w:val="0"/>
          <w:marRight w:val="0"/>
          <w:marTop w:val="166"/>
          <w:marBottom w:val="166"/>
          <w:divBdr>
            <w:top w:val="none" w:sz="0" w:space="0" w:color="auto"/>
            <w:left w:val="none" w:sz="0" w:space="0" w:color="auto"/>
            <w:bottom w:val="none" w:sz="0" w:space="0" w:color="auto"/>
            <w:right w:val="none" w:sz="0" w:space="0" w:color="auto"/>
          </w:divBdr>
        </w:div>
        <w:div w:id="1266882817">
          <w:marLeft w:val="0"/>
          <w:marRight w:val="0"/>
          <w:marTop w:val="166"/>
          <w:marBottom w:val="166"/>
          <w:divBdr>
            <w:top w:val="none" w:sz="0" w:space="0" w:color="auto"/>
            <w:left w:val="none" w:sz="0" w:space="0" w:color="auto"/>
            <w:bottom w:val="none" w:sz="0" w:space="0" w:color="auto"/>
            <w:right w:val="none" w:sz="0" w:space="0" w:color="auto"/>
          </w:divBdr>
        </w:div>
        <w:div w:id="1283459052">
          <w:marLeft w:val="0"/>
          <w:marRight w:val="0"/>
          <w:marTop w:val="166"/>
          <w:marBottom w:val="166"/>
          <w:divBdr>
            <w:top w:val="none" w:sz="0" w:space="0" w:color="auto"/>
            <w:left w:val="none" w:sz="0" w:space="0" w:color="auto"/>
            <w:bottom w:val="none" w:sz="0" w:space="0" w:color="auto"/>
            <w:right w:val="none" w:sz="0" w:space="0" w:color="auto"/>
          </w:divBdr>
        </w:div>
        <w:div w:id="1306861635">
          <w:marLeft w:val="0"/>
          <w:marRight w:val="0"/>
          <w:marTop w:val="166"/>
          <w:marBottom w:val="166"/>
          <w:divBdr>
            <w:top w:val="none" w:sz="0" w:space="0" w:color="auto"/>
            <w:left w:val="none" w:sz="0" w:space="0" w:color="auto"/>
            <w:bottom w:val="none" w:sz="0" w:space="0" w:color="auto"/>
            <w:right w:val="none" w:sz="0" w:space="0" w:color="auto"/>
          </w:divBdr>
        </w:div>
        <w:div w:id="1329405920">
          <w:marLeft w:val="0"/>
          <w:marRight w:val="0"/>
          <w:marTop w:val="166"/>
          <w:marBottom w:val="166"/>
          <w:divBdr>
            <w:top w:val="none" w:sz="0" w:space="0" w:color="auto"/>
            <w:left w:val="none" w:sz="0" w:space="0" w:color="auto"/>
            <w:bottom w:val="none" w:sz="0" w:space="0" w:color="auto"/>
            <w:right w:val="none" w:sz="0" w:space="0" w:color="auto"/>
          </w:divBdr>
        </w:div>
        <w:div w:id="1332638898">
          <w:marLeft w:val="0"/>
          <w:marRight w:val="0"/>
          <w:marTop w:val="166"/>
          <w:marBottom w:val="166"/>
          <w:divBdr>
            <w:top w:val="none" w:sz="0" w:space="0" w:color="auto"/>
            <w:left w:val="none" w:sz="0" w:space="0" w:color="auto"/>
            <w:bottom w:val="none" w:sz="0" w:space="0" w:color="auto"/>
            <w:right w:val="none" w:sz="0" w:space="0" w:color="auto"/>
          </w:divBdr>
        </w:div>
        <w:div w:id="1345284008">
          <w:marLeft w:val="0"/>
          <w:marRight w:val="0"/>
          <w:marTop w:val="166"/>
          <w:marBottom w:val="166"/>
          <w:divBdr>
            <w:top w:val="none" w:sz="0" w:space="0" w:color="auto"/>
            <w:left w:val="none" w:sz="0" w:space="0" w:color="auto"/>
            <w:bottom w:val="none" w:sz="0" w:space="0" w:color="auto"/>
            <w:right w:val="none" w:sz="0" w:space="0" w:color="auto"/>
          </w:divBdr>
        </w:div>
        <w:div w:id="1347750059">
          <w:marLeft w:val="0"/>
          <w:marRight w:val="0"/>
          <w:marTop w:val="166"/>
          <w:marBottom w:val="166"/>
          <w:divBdr>
            <w:top w:val="none" w:sz="0" w:space="0" w:color="auto"/>
            <w:left w:val="none" w:sz="0" w:space="0" w:color="auto"/>
            <w:bottom w:val="none" w:sz="0" w:space="0" w:color="auto"/>
            <w:right w:val="none" w:sz="0" w:space="0" w:color="auto"/>
          </w:divBdr>
        </w:div>
        <w:div w:id="1354965567">
          <w:marLeft w:val="0"/>
          <w:marRight w:val="0"/>
          <w:marTop w:val="166"/>
          <w:marBottom w:val="166"/>
          <w:divBdr>
            <w:top w:val="none" w:sz="0" w:space="0" w:color="auto"/>
            <w:left w:val="none" w:sz="0" w:space="0" w:color="auto"/>
            <w:bottom w:val="none" w:sz="0" w:space="0" w:color="auto"/>
            <w:right w:val="none" w:sz="0" w:space="0" w:color="auto"/>
          </w:divBdr>
        </w:div>
        <w:div w:id="1358505440">
          <w:marLeft w:val="0"/>
          <w:marRight w:val="0"/>
          <w:marTop w:val="166"/>
          <w:marBottom w:val="166"/>
          <w:divBdr>
            <w:top w:val="none" w:sz="0" w:space="0" w:color="auto"/>
            <w:left w:val="none" w:sz="0" w:space="0" w:color="auto"/>
            <w:bottom w:val="none" w:sz="0" w:space="0" w:color="auto"/>
            <w:right w:val="none" w:sz="0" w:space="0" w:color="auto"/>
          </w:divBdr>
        </w:div>
        <w:div w:id="1367099807">
          <w:marLeft w:val="0"/>
          <w:marRight w:val="0"/>
          <w:marTop w:val="166"/>
          <w:marBottom w:val="166"/>
          <w:divBdr>
            <w:top w:val="none" w:sz="0" w:space="0" w:color="auto"/>
            <w:left w:val="none" w:sz="0" w:space="0" w:color="auto"/>
            <w:bottom w:val="none" w:sz="0" w:space="0" w:color="auto"/>
            <w:right w:val="none" w:sz="0" w:space="0" w:color="auto"/>
          </w:divBdr>
        </w:div>
        <w:div w:id="1377926266">
          <w:marLeft w:val="0"/>
          <w:marRight w:val="0"/>
          <w:marTop w:val="166"/>
          <w:marBottom w:val="166"/>
          <w:divBdr>
            <w:top w:val="none" w:sz="0" w:space="0" w:color="auto"/>
            <w:left w:val="none" w:sz="0" w:space="0" w:color="auto"/>
            <w:bottom w:val="none" w:sz="0" w:space="0" w:color="auto"/>
            <w:right w:val="none" w:sz="0" w:space="0" w:color="auto"/>
          </w:divBdr>
        </w:div>
        <w:div w:id="1393190930">
          <w:marLeft w:val="0"/>
          <w:marRight w:val="0"/>
          <w:marTop w:val="166"/>
          <w:marBottom w:val="166"/>
          <w:divBdr>
            <w:top w:val="none" w:sz="0" w:space="0" w:color="auto"/>
            <w:left w:val="none" w:sz="0" w:space="0" w:color="auto"/>
            <w:bottom w:val="none" w:sz="0" w:space="0" w:color="auto"/>
            <w:right w:val="none" w:sz="0" w:space="0" w:color="auto"/>
          </w:divBdr>
        </w:div>
        <w:div w:id="1416511562">
          <w:marLeft w:val="0"/>
          <w:marRight w:val="0"/>
          <w:marTop w:val="166"/>
          <w:marBottom w:val="166"/>
          <w:divBdr>
            <w:top w:val="none" w:sz="0" w:space="0" w:color="auto"/>
            <w:left w:val="none" w:sz="0" w:space="0" w:color="auto"/>
            <w:bottom w:val="none" w:sz="0" w:space="0" w:color="auto"/>
            <w:right w:val="none" w:sz="0" w:space="0" w:color="auto"/>
          </w:divBdr>
        </w:div>
        <w:div w:id="1419518404">
          <w:marLeft w:val="0"/>
          <w:marRight w:val="0"/>
          <w:marTop w:val="166"/>
          <w:marBottom w:val="166"/>
          <w:divBdr>
            <w:top w:val="none" w:sz="0" w:space="0" w:color="auto"/>
            <w:left w:val="none" w:sz="0" w:space="0" w:color="auto"/>
            <w:bottom w:val="none" w:sz="0" w:space="0" w:color="auto"/>
            <w:right w:val="none" w:sz="0" w:space="0" w:color="auto"/>
          </w:divBdr>
        </w:div>
        <w:div w:id="1423262706">
          <w:marLeft w:val="0"/>
          <w:marRight w:val="0"/>
          <w:marTop w:val="166"/>
          <w:marBottom w:val="166"/>
          <w:divBdr>
            <w:top w:val="none" w:sz="0" w:space="0" w:color="auto"/>
            <w:left w:val="none" w:sz="0" w:space="0" w:color="auto"/>
            <w:bottom w:val="none" w:sz="0" w:space="0" w:color="auto"/>
            <w:right w:val="none" w:sz="0" w:space="0" w:color="auto"/>
          </w:divBdr>
        </w:div>
        <w:div w:id="1433934334">
          <w:marLeft w:val="0"/>
          <w:marRight w:val="0"/>
          <w:marTop w:val="166"/>
          <w:marBottom w:val="166"/>
          <w:divBdr>
            <w:top w:val="none" w:sz="0" w:space="0" w:color="auto"/>
            <w:left w:val="none" w:sz="0" w:space="0" w:color="auto"/>
            <w:bottom w:val="none" w:sz="0" w:space="0" w:color="auto"/>
            <w:right w:val="none" w:sz="0" w:space="0" w:color="auto"/>
          </w:divBdr>
        </w:div>
        <w:div w:id="1437094094">
          <w:marLeft w:val="0"/>
          <w:marRight w:val="0"/>
          <w:marTop w:val="166"/>
          <w:marBottom w:val="166"/>
          <w:divBdr>
            <w:top w:val="none" w:sz="0" w:space="0" w:color="auto"/>
            <w:left w:val="none" w:sz="0" w:space="0" w:color="auto"/>
            <w:bottom w:val="none" w:sz="0" w:space="0" w:color="auto"/>
            <w:right w:val="none" w:sz="0" w:space="0" w:color="auto"/>
          </w:divBdr>
        </w:div>
        <w:div w:id="1444154197">
          <w:marLeft w:val="0"/>
          <w:marRight w:val="0"/>
          <w:marTop w:val="166"/>
          <w:marBottom w:val="166"/>
          <w:divBdr>
            <w:top w:val="none" w:sz="0" w:space="0" w:color="auto"/>
            <w:left w:val="none" w:sz="0" w:space="0" w:color="auto"/>
            <w:bottom w:val="none" w:sz="0" w:space="0" w:color="auto"/>
            <w:right w:val="none" w:sz="0" w:space="0" w:color="auto"/>
          </w:divBdr>
        </w:div>
        <w:div w:id="1444884600">
          <w:marLeft w:val="0"/>
          <w:marRight w:val="0"/>
          <w:marTop w:val="166"/>
          <w:marBottom w:val="166"/>
          <w:divBdr>
            <w:top w:val="none" w:sz="0" w:space="0" w:color="auto"/>
            <w:left w:val="none" w:sz="0" w:space="0" w:color="auto"/>
            <w:bottom w:val="none" w:sz="0" w:space="0" w:color="auto"/>
            <w:right w:val="none" w:sz="0" w:space="0" w:color="auto"/>
          </w:divBdr>
        </w:div>
        <w:div w:id="1454210792">
          <w:marLeft w:val="0"/>
          <w:marRight w:val="0"/>
          <w:marTop w:val="166"/>
          <w:marBottom w:val="166"/>
          <w:divBdr>
            <w:top w:val="none" w:sz="0" w:space="0" w:color="auto"/>
            <w:left w:val="none" w:sz="0" w:space="0" w:color="auto"/>
            <w:bottom w:val="none" w:sz="0" w:space="0" w:color="auto"/>
            <w:right w:val="none" w:sz="0" w:space="0" w:color="auto"/>
          </w:divBdr>
        </w:div>
        <w:div w:id="1459687315">
          <w:marLeft w:val="0"/>
          <w:marRight w:val="0"/>
          <w:marTop w:val="166"/>
          <w:marBottom w:val="166"/>
          <w:divBdr>
            <w:top w:val="none" w:sz="0" w:space="0" w:color="auto"/>
            <w:left w:val="none" w:sz="0" w:space="0" w:color="auto"/>
            <w:bottom w:val="none" w:sz="0" w:space="0" w:color="auto"/>
            <w:right w:val="none" w:sz="0" w:space="0" w:color="auto"/>
          </w:divBdr>
        </w:div>
        <w:div w:id="1466967319">
          <w:marLeft w:val="0"/>
          <w:marRight w:val="0"/>
          <w:marTop w:val="166"/>
          <w:marBottom w:val="166"/>
          <w:divBdr>
            <w:top w:val="none" w:sz="0" w:space="0" w:color="auto"/>
            <w:left w:val="none" w:sz="0" w:space="0" w:color="auto"/>
            <w:bottom w:val="none" w:sz="0" w:space="0" w:color="auto"/>
            <w:right w:val="none" w:sz="0" w:space="0" w:color="auto"/>
          </w:divBdr>
        </w:div>
        <w:div w:id="1467090727">
          <w:marLeft w:val="0"/>
          <w:marRight w:val="0"/>
          <w:marTop w:val="166"/>
          <w:marBottom w:val="166"/>
          <w:divBdr>
            <w:top w:val="none" w:sz="0" w:space="0" w:color="auto"/>
            <w:left w:val="none" w:sz="0" w:space="0" w:color="auto"/>
            <w:bottom w:val="none" w:sz="0" w:space="0" w:color="auto"/>
            <w:right w:val="none" w:sz="0" w:space="0" w:color="auto"/>
          </w:divBdr>
        </w:div>
        <w:div w:id="1469274944">
          <w:marLeft w:val="0"/>
          <w:marRight w:val="0"/>
          <w:marTop w:val="166"/>
          <w:marBottom w:val="166"/>
          <w:divBdr>
            <w:top w:val="none" w:sz="0" w:space="0" w:color="auto"/>
            <w:left w:val="none" w:sz="0" w:space="0" w:color="auto"/>
            <w:bottom w:val="none" w:sz="0" w:space="0" w:color="auto"/>
            <w:right w:val="none" w:sz="0" w:space="0" w:color="auto"/>
          </w:divBdr>
        </w:div>
        <w:div w:id="1472360887">
          <w:marLeft w:val="0"/>
          <w:marRight w:val="0"/>
          <w:marTop w:val="166"/>
          <w:marBottom w:val="166"/>
          <w:divBdr>
            <w:top w:val="none" w:sz="0" w:space="0" w:color="auto"/>
            <w:left w:val="none" w:sz="0" w:space="0" w:color="auto"/>
            <w:bottom w:val="none" w:sz="0" w:space="0" w:color="auto"/>
            <w:right w:val="none" w:sz="0" w:space="0" w:color="auto"/>
          </w:divBdr>
        </w:div>
        <w:div w:id="1479877469">
          <w:marLeft w:val="0"/>
          <w:marRight w:val="0"/>
          <w:marTop w:val="166"/>
          <w:marBottom w:val="166"/>
          <w:divBdr>
            <w:top w:val="none" w:sz="0" w:space="0" w:color="auto"/>
            <w:left w:val="none" w:sz="0" w:space="0" w:color="auto"/>
            <w:bottom w:val="none" w:sz="0" w:space="0" w:color="auto"/>
            <w:right w:val="none" w:sz="0" w:space="0" w:color="auto"/>
          </w:divBdr>
        </w:div>
        <w:div w:id="1485584161">
          <w:marLeft w:val="0"/>
          <w:marRight w:val="0"/>
          <w:marTop w:val="166"/>
          <w:marBottom w:val="166"/>
          <w:divBdr>
            <w:top w:val="none" w:sz="0" w:space="0" w:color="auto"/>
            <w:left w:val="none" w:sz="0" w:space="0" w:color="auto"/>
            <w:bottom w:val="none" w:sz="0" w:space="0" w:color="auto"/>
            <w:right w:val="none" w:sz="0" w:space="0" w:color="auto"/>
          </w:divBdr>
        </w:div>
        <w:div w:id="1490172249">
          <w:marLeft w:val="0"/>
          <w:marRight w:val="0"/>
          <w:marTop w:val="166"/>
          <w:marBottom w:val="166"/>
          <w:divBdr>
            <w:top w:val="none" w:sz="0" w:space="0" w:color="auto"/>
            <w:left w:val="none" w:sz="0" w:space="0" w:color="auto"/>
            <w:bottom w:val="none" w:sz="0" w:space="0" w:color="auto"/>
            <w:right w:val="none" w:sz="0" w:space="0" w:color="auto"/>
          </w:divBdr>
        </w:div>
        <w:div w:id="1500005028">
          <w:marLeft w:val="0"/>
          <w:marRight w:val="0"/>
          <w:marTop w:val="166"/>
          <w:marBottom w:val="166"/>
          <w:divBdr>
            <w:top w:val="none" w:sz="0" w:space="0" w:color="auto"/>
            <w:left w:val="none" w:sz="0" w:space="0" w:color="auto"/>
            <w:bottom w:val="none" w:sz="0" w:space="0" w:color="auto"/>
            <w:right w:val="none" w:sz="0" w:space="0" w:color="auto"/>
          </w:divBdr>
        </w:div>
        <w:div w:id="1505122771">
          <w:marLeft w:val="0"/>
          <w:marRight w:val="0"/>
          <w:marTop w:val="166"/>
          <w:marBottom w:val="166"/>
          <w:divBdr>
            <w:top w:val="none" w:sz="0" w:space="0" w:color="auto"/>
            <w:left w:val="none" w:sz="0" w:space="0" w:color="auto"/>
            <w:bottom w:val="none" w:sz="0" w:space="0" w:color="auto"/>
            <w:right w:val="none" w:sz="0" w:space="0" w:color="auto"/>
          </w:divBdr>
        </w:div>
        <w:div w:id="1507939344">
          <w:marLeft w:val="0"/>
          <w:marRight w:val="0"/>
          <w:marTop w:val="166"/>
          <w:marBottom w:val="166"/>
          <w:divBdr>
            <w:top w:val="none" w:sz="0" w:space="0" w:color="auto"/>
            <w:left w:val="none" w:sz="0" w:space="0" w:color="auto"/>
            <w:bottom w:val="none" w:sz="0" w:space="0" w:color="auto"/>
            <w:right w:val="none" w:sz="0" w:space="0" w:color="auto"/>
          </w:divBdr>
        </w:div>
        <w:div w:id="1526208255">
          <w:marLeft w:val="0"/>
          <w:marRight w:val="0"/>
          <w:marTop w:val="166"/>
          <w:marBottom w:val="166"/>
          <w:divBdr>
            <w:top w:val="none" w:sz="0" w:space="0" w:color="auto"/>
            <w:left w:val="none" w:sz="0" w:space="0" w:color="auto"/>
            <w:bottom w:val="none" w:sz="0" w:space="0" w:color="auto"/>
            <w:right w:val="none" w:sz="0" w:space="0" w:color="auto"/>
          </w:divBdr>
        </w:div>
        <w:div w:id="1534272258">
          <w:marLeft w:val="0"/>
          <w:marRight w:val="0"/>
          <w:marTop w:val="166"/>
          <w:marBottom w:val="166"/>
          <w:divBdr>
            <w:top w:val="none" w:sz="0" w:space="0" w:color="auto"/>
            <w:left w:val="none" w:sz="0" w:space="0" w:color="auto"/>
            <w:bottom w:val="none" w:sz="0" w:space="0" w:color="auto"/>
            <w:right w:val="none" w:sz="0" w:space="0" w:color="auto"/>
          </w:divBdr>
        </w:div>
        <w:div w:id="1553618490">
          <w:marLeft w:val="0"/>
          <w:marRight w:val="0"/>
          <w:marTop w:val="166"/>
          <w:marBottom w:val="166"/>
          <w:divBdr>
            <w:top w:val="none" w:sz="0" w:space="0" w:color="auto"/>
            <w:left w:val="none" w:sz="0" w:space="0" w:color="auto"/>
            <w:bottom w:val="none" w:sz="0" w:space="0" w:color="auto"/>
            <w:right w:val="none" w:sz="0" w:space="0" w:color="auto"/>
          </w:divBdr>
        </w:div>
        <w:div w:id="1567761514">
          <w:marLeft w:val="0"/>
          <w:marRight w:val="0"/>
          <w:marTop w:val="166"/>
          <w:marBottom w:val="166"/>
          <w:divBdr>
            <w:top w:val="none" w:sz="0" w:space="0" w:color="auto"/>
            <w:left w:val="none" w:sz="0" w:space="0" w:color="auto"/>
            <w:bottom w:val="none" w:sz="0" w:space="0" w:color="auto"/>
            <w:right w:val="none" w:sz="0" w:space="0" w:color="auto"/>
          </w:divBdr>
        </w:div>
        <w:div w:id="1580216491">
          <w:marLeft w:val="0"/>
          <w:marRight w:val="0"/>
          <w:marTop w:val="166"/>
          <w:marBottom w:val="166"/>
          <w:divBdr>
            <w:top w:val="none" w:sz="0" w:space="0" w:color="auto"/>
            <w:left w:val="none" w:sz="0" w:space="0" w:color="auto"/>
            <w:bottom w:val="none" w:sz="0" w:space="0" w:color="auto"/>
            <w:right w:val="none" w:sz="0" w:space="0" w:color="auto"/>
          </w:divBdr>
        </w:div>
        <w:div w:id="1582910367">
          <w:marLeft w:val="0"/>
          <w:marRight w:val="0"/>
          <w:marTop w:val="166"/>
          <w:marBottom w:val="166"/>
          <w:divBdr>
            <w:top w:val="none" w:sz="0" w:space="0" w:color="auto"/>
            <w:left w:val="none" w:sz="0" w:space="0" w:color="auto"/>
            <w:bottom w:val="none" w:sz="0" w:space="0" w:color="auto"/>
            <w:right w:val="none" w:sz="0" w:space="0" w:color="auto"/>
          </w:divBdr>
        </w:div>
        <w:div w:id="1644431914">
          <w:marLeft w:val="0"/>
          <w:marRight w:val="0"/>
          <w:marTop w:val="166"/>
          <w:marBottom w:val="166"/>
          <w:divBdr>
            <w:top w:val="none" w:sz="0" w:space="0" w:color="auto"/>
            <w:left w:val="none" w:sz="0" w:space="0" w:color="auto"/>
            <w:bottom w:val="none" w:sz="0" w:space="0" w:color="auto"/>
            <w:right w:val="none" w:sz="0" w:space="0" w:color="auto"/>
          </w:divBdr>
        </w:div>
        <w:div w:id="1644657828">
          <w:marLeft w:val="0"/>
          <w:marRight w:val="0"/>
          <w:marTop w:val="166"/>
          <w:marBottom w:val="166"/>
          <w:divBdr>
            <w:top w:val="none" w:sz="0" w:space="0" w:color="auto"/>
            <w:left w:val="none" w:sz="0" w:space="0" w:color="auto"/>
            <w:bottom w:val="none" w:sz="0" w:space="0" w:color="auto"/>
            <w:right w:val="none" w:sz="0" w:space="0" w:color="auto"/>
          </w:divBdr>
        </w:div>
        <w:div w:id="1666203676">
          <w:marLeft w:val="0"/>
          <w:marRight w:val="0"/>
          <w:marTop w:val="166"/>
          <w:marBottom w:val="166"/>
          <w:divBdr>
            <w:top w:val="none" w:sz="0" w:space="0" w:color="auto"/>
            <w:left w:val="none" w:sz="0" w:space="0" w:color="auto"/>
            <w:bottom w:val="none" w:sz="0" w:space="0" w:color="auto"/>
            <w:right w:val="none" w:sz="0" w:space="0" w:color="auto"/>
          </w:divBdr>
        </w:div>
        <w:div w:id="1667976647">
          <w:marLeft w:val="0"/>
          <w:marRight w:val="0"/>
          <w:marTop w:val="166"/>
          <w:marBottom w:val="166"/>
          <w:divBdr>
            <w:top w:val="none" w:sz="0" w:space="0" w:color="auto"/>
            <w:left w:val="none" w:sz="0" w:space="0" w:color="auto"/>
            <w:bottom w:val="none" w:sz="0" w:space="0" w:color="auto"/>
            <w:right w:val="none" w:sz="0" w:space="0" w:color="auto"/>
          </w:divBdr>
        </w:div>
        <w:div w:id="1671905501">
          <w:marLeft w:val="0"/>
          <w:marRight w:val="0"/>
          <w:marTop w:val="166"/>
          <w:marBottom w:val="166"/>
          <w:divBdr>
            <w:top w:val="none" w:sz="0" w:space="0" w:color="auto"/>
            <w:left w:val="none" w:sz="0" w:space="0" w:color="auto"/>
            <w:bottom w:val="none" w:sz="0" w:space="0" w:color="auto"/>
            <w:right w:val="none" w:sz="0" w:space="0" w:color="auto"/>
          </w:divBdr>
        </w:div>
        <w:div w:id="1676569541">
          <w:marLeft w:val="0"/>
          <w:marRight w:val="0"/>
          <w:marTop w:val="166"/>
          <w:marBottom w:val="166"/>
          <w:divBdr>
            <w:top w:val="none" w:sz="0" w:space="0" w:color="auto"/>
            <w:left w:val="none" w:sz="0" w:space="0" w:color="auto"/>
            <w:bottom w:val="none" w:sz="0" w:space="0" w:color="auto"/>
            <w:right w:val="none" w:sz="0" w:space="0" w:color="auto"/>
          </w:divBdr>
        </w:div>
        <w:div w:id="1691376825">
          <w:marLeft w:val="0"/>
          <w:marRight w:val="0"/>
          <w:marTop w:val="166"/>
          <w:marBottom w:val="166"/>
          <w:divBdr>
            <w:top w:val="none" w:sz="0" w:space="0" w:color="auto"/>
            <w:left w:val="none" w:sz="0" w:space="0" w:color="auto"/>
            <w:bottom w:val="none" w:sz="0" w:space="0" w:color="auto"/>
            <w:right w:val="none" w:sz="0" w:space="0" w:color="auto"/>
          </w:divBdr>
        </w:div>
        <w:div w:id="1692150163">
          <w:marLeft w:val="0"/>
          <w:marRight w:val="0"/>
          <w:marTop w:val="166"/>
          <w:marBottom w:val="166"/>
          <w:divBdr>
            <w:top w:val="none" w:sz="0" w:space="0" w:color="auto"/>
            <w:left w:val="none" w:sz="0" w:space="0" w:color="auto"/>
            <w:bottom w:val="none" w:sz="0" w:space="0" w:color="auto"/>
            <w:right w:val="none" w:sz="0" w:space="0" w:color="auto"/>
          </w:divBdr>
        </w:div>
        <w:div w:id="1693189162">
          <w:marLeft w:val="0"/>
          <w:marRight w:val="0"/>
          <w:marTop w:val="166"/>
          <w:marBottom w:val="166"/>
          <w:divBdr>
            <w:top w:val="none" w:sz="0" w:space="0" w:color="auto"/>
            <w:left w:val="none" w:sz="0" w:space="0" w:color="auto"/>
            <w:bottom w:val="none" w:sz="0" w:space="0" w:color="auto"/>
            <w:right w:val="none" w:sz="0" w:space="0" w:color="auto"/>
          </w:divBdr>
        </w:div>
        <w:div w:id="1716002621">
          <w:marLeft w:val="0"/>
          <w:marRight w:val="0"/>
          <w:marTop w:val="166"/>
          <w:marBottom w:val="166"/>
          <w:divBdr>
            <w:top w:val="none" w:sz="0" w:space="0" w:color="auto"/>
            <w:left w:val="none" w:sz="0" w:space="0" w:color="auto"/>
            <w:bottom w:val="none" w:sz="0" w:space="0" w:color="auto"/>
            <w:right w:val="none" w:sz="0" w:space="0" w:color="auto"/>
          </w:divBdr>
        </w:div>
        <w:div w:id="1722973474">
          <w:marLeft w:val="0"/>
          <w:marRight w:val="0"/>
          <w:marTop w:val="166"/>
          <w:marBottom w:val="166"/>
          <w:divBdr>
            <w:top w:val="none" w:sz="0" w:space="0" w:color="auto"/>
            <w:left w:val="none" w:sz="0" w:space="0" w:color="auto"/>
            <w:bottom w:val="none" w:sz="0" w:space="0" w:color="auto"/>
            <w:right w:val="none" w:sz="0" w:space="0" w:color="auto"/>
          </w:divBdr>
        </w:div>
        <w:div w:id="1727680087">
          <w:marLeft w:val="0"/>
          <w:marRight w:val="0"/>
          <w:marTop w:val="166"/>
          <w:marBottom w:val="166"/>
          <w:divBdr>
            <w:top w:val="none" w:sz="0" w:space="0" w:color="auto"/>
            <w:left w:val="none" w:sz="0" w:space="0" w:color="auto"/>
            <w:bottom w:val="none" w:sz="0" w:space="0" w:color="auto"/>
            <w:right w:val="none" w:sz="0" w:space="0" w:color="auto"/>
          </w:divBdr>
        </w:div>
        <w:div w:id="1746368619">
          <w:marLeft w:val="0"/>
          <w:marRight w:val="0"/>
          <w:marTop w:val="166"/>
          <w:marBottom w:val="166"/>
          <w:divBdr>
            <w:top w:val="none" w:sz="0" w:space="0" w:color="auto"/>
            <w:left w:val="none" w:sz="0" w:space="0" w:color="auto"/>
            <w:bottom w:val="none" w:sz="0" w:space="0" w:color="auto"/>
            <w:right w:val="none" w:sz="0" w:space="0" w:color="auto"/>
          </w:divBdr>
        </w:div>
        <w:div w:id="1755280739">
          <w:marLeft w:val="0"/>
          <w:marRight w:val="0"/>
          <w:marTop w:val="166"/>
          <w:marBottom w:val="166"/>
          <w:divBdr>
            <w:top w:val="none" w:sz="0" w:space="0" w:color="auto"/>
            <w:left w:val="none" w:sz="0" w:space="0" w:color="auto"/>
            <w:bottom w:val="none" w:sz="0" w:space="0" w:color="auto"/>
            <w:right w:val="none" w:sz="0" w:space="0" w:color="auto"/>
          </w:divBdr>
        </w:div>
        <w:div w:id="1755544275">
          <w:marLeft w:val="0"/>
          <w:marRight w:val="0"/>
          <w:marTop w:val="166"/>
          <w:marBottom w:val="166"/>
          <w:divBdr>
            <w:top w:val="none" w:sz="0" w:space="0" w:color="auto"/>
            <w:left w:val="none" w:sz="0" w:space="0" w:color="auto"/>
            <w:bottom w:val="none" w:sz="0" w:space="0" w:color="auto"/>
            <w:right w:val="none" w:sz="0" w:space="0" w:color="auto"/>
          </w:divBdr>
        </w:div>
        <w:div w:id="1757748983">
          <w:marLeft w:val="0"/>
          <w:marRight w:val="0"/>
          <w:marTop w:val="166"/>
          <w:marBottom w:val="166"/>
          <w:divBdr>
            <w:top w:val="none" w:sz="0" w:space="0" w:color="auto"/>
            <w:left w:val="none" w:sz="0" w:space="0" w:color="auto"/>
            <w:bottom w:val="none" w:sz="0" w:space="0" w:color="auto"/>
            <w:right w:val="none" w:sz="0" w:space="0" w:color="auto"/>
          </w:divBdr>
        </w:div>
        <w:div w:id="1770271817">
          <w:marLeft w:val="0"/>
          <w:marRight w:val="0"/>
          <w:marTop w:val="166"/>
          <w:marBottom w:val="166"/>
          <w:divBdr>
            <w:top w:val="none" w:sz="0" w:space="0" w:color="auto"/>
            <w:left w:val="none" w:sz="0" w:space="0" w:color="auto"/>
            <w:bottom w:val="none" w:sz="0" w:space="0" w:color="auto"/>
            <w:right w:val="none" w:sz="0" w:space="0" w:color="auto"/>
          </w:divBdr>
        </w:div>
        <w:div w:id="1770932699">
          <w:marLeft w:val="0"/>
          <w:marRight w:val="0"/>
          <w:marTop w:val="166"/>
          <w:marBottom w:val="166"/>
          <w:divBdr>
            <w:top w:val="none" w:sz="0" w:space="0" w:color="auto"/>
            <w:left w:val="none" w:sz="0" w:space="0" w:color="auto"/>
            <w:bottom w:val="none" w:sz="0" w:space="0" w:color="auto"/>
            <w:right w:val="none" w:sz="0" w:space="0" w:color="auto"/>
          </w:divBdr>
        </w:div>
        <w:div w:id="1782262316">
          <w:marLeft w:val="0"/>
          <w:marRight w:val="0"/>
          <w:marTop w:val="166"/>
          <w:marBottom w:val="166"/>
          <w:divBdr>
            <w:top w:val="none" w:sz="0" w:space="0" w:color="auto"/>
            <w:left w:val="none" w:sz="0" w:space="0" w:color="auto"/>
            <w:bottom w:val="none" w:sz="0" w:space="0" w:color="auto"/>
            <w:right w:val="none" w:sz="0" w:space="0" w:color="auto"/>
          </w:divBdr>
        </w:div>
        <w:div w:id="1794056927">
          <w:marLeft w:val="0"/>
          <w:marRight w:val="0"/>
          <w:marTop w:val="166"/>
          <w:marBottom w:val="166"/>
          <w:divBdr>
            <w:top w:val="none" w:sz="0" w:space="0" w:color="auto"/>
            <w:left w:val="none" w:sz="0" w:space="0" w:color="auto"/>
            <w:bottom w:val="none" w:sz="0" w:space="0" w:color="auto"/>
            <w:right w:val="none" w:sz="0" w:space="0" w:color="auto"/>
          </w:divBdr>
        </w:div>
        <w:div w:id="1803159718">
          <w:marLeft w:val="0"/>
          <w:marRight w:val="0"/>
          <w:marTop w:val="166"/>
          <w:marBottom w:val="166"/>
          <w:divBdr>
            <w:top w:val="none" w:sz="0" w:space="0" w:color="auto"/>
            <w:left w:val="none" w:sz="0" w:space="0" w:color="auto"/>
            <w:bottom w:val="none" w:sz="0" w:space="0" w:color="auto"/>
            <w:right w:val="none" w:sz="0" w:space="0" w:color="auto"/>
          </w:divBdr>
        </w:div>
        <w:div w:id="1806698358">
          <w:marLeft w:val="0"/>
          <w:marRight w:val="0"/>
          <w:marTop w:val="166"/>
          <w:marBottom w:val="166"/>
          <w:divBdr>
            <w:top w:val="none" w:sz="0" w:space="0" w:color="auto"/>
            <w:left w:val="none" w:sz="0" w:space="0" w:color="auto"/>
            <w:bottom w:val="none" w:sz="0" w:space="0" w:color="auto"/>
            <w:right w:val="none" w:sz="0" w:space="0" w:color="auto"/>
          </w:divBdr>
        </w:div>
        <w:div w:id="1838420954">
          <w:marLeft w:val="0"/>
          <w:marRight w:val="0"/>
          <w:marTop w:val="166"/>
          <w:marBottom w:val="166"/>
          <w:divBdr>
            <w:top w:val="none" w:sz="0" w:space="0" w:color="auto"/>
            <w:left w:val="none" w:sz="0" w:space="0" w:color="auto"/>
            <w:bottom w:val="none" w:sz="0" w:space="0" w:color="auto"/>
            <w:right w:val="none" w:sz="0" w:space="0" w:color="auto"/>
          </w:divBdr>
        </w:div>
        <w:div w:id="1841507544">
          <w:marLeft w:val="0"/>
          <w:marRight w:val="0"/>
          <w:marTop w:val="166"/>
          <w:marBottom w:val="166"/>
          <w:divBdr>
            <w:top w:val="none" w:sz="0" w:space="0" w:color="auto"/>
            <w:left w:val="none" w:sz="0" w:space="0" w:color="auto"/>
            <w:bottom w:val="none" w:sz="0" w:space="0" w:color="auto"/>
            <w:right w:val="none" w:sz="0" w:space="0" w:color="auto"/>
          </w:divBdr>
        </w:div>
        <w:div w:id="1851875380">
          <w:marLeft w:val="0"/>
          <w:marRight w:val="0"/>
          <w:marTop w:val="166"/>
          <w:marBottom w:val="166"/>
          <w:divBdr>
            <w:top w:val="none" w:sz="0" w:space="0" w:color="auto"/>
            <w:left w:val="none" w:sz="0" w:space="0" w:color="auto"/>
            <w:bottom w:val="none" w:sz="0" w:space="0" w:color="auto"/>
            <w:right w:val="none" w:sz="0" w:space="0" w:color="auto"/>
          </w:divBdr>
        </w:div>
        <w:div w:id="1854954204">
          <w:marLeft w:val="0"/>
          <w:marRight w:val="0"/>
          <w:marTop w:val="166"/>
          <w:marBottom w:val="166"/>
          <w:divBdr>
            <w:top w:val="none" w:sz="0" w:space="0" w:color="auto"/>
            <w:left w:val="none" w:sz="0" w:space="0" w:color="auto"/>
            <w:bottom w:val="none" w:sz="0" w:space="0" w:color="auto"/>
            <w:right w:val="none" w:sz="0" w:space="0" w:color="auto"/>
          </w:divBdr>
        </w:div>
        <w:div w:id="1856572904">
          <w:marLeft w:val="0"/>
          <w:marRight w:val="0"/>
          <w:marTop w:val="166"/>
          <w:marBottom w:val="166"/>
          <w:divBdr>
            <w:top w:val="none" w:sz="0" w:space="0" w:color="auto"/>
            <w:left w:val="none" w:sz="0" w:space="0" w:color="auto"/>
            <w:bottom w:val="none" w:sz="0" w:space="0" w:color="auto"/>
            <w:right w:val="none" w:sz="0" w:space="0" w:color="auto"/>
          </w:divBdr>
        </w:div>
        <w:div w:id="1856646198">
          <w:marLeft w:val="0"/>
          <w:marRight w:val="0"/>
          <w:marTop w:val="166"/>
          <w:marBottom w:val="166"/>
          <w:divBdr>
            <w:top w:val="none" w:sz="0" w:space="0" w:color="auto"/>
            <w:left w:val="none" w:sz="0" w:space="0" w:color="auto"/>
            <w:bottom w:val="none" w:sz="0" w:space="0" w:color="auto"/>
            <w:right w:val="none" w:sz="0" w:space="0" w:color="auto"/>
          </w:divBdr>
        </w:div>
        <w:div w:id="1861501955">
          <w:marLeft w:val="0"/>
          <w:marRight w:val="0"/>
          <w:marTop w:val="166"/>
          <w:marBottom w:val="166"/>
          <w:divBdr>
            <w:top w:val="none" w:sz="0" w:space="0" w:color="auto"/>
            <w:left w:val="none" w:sz="0" w:space="0" w:color="auto"/>
            <w:bottom w:val="none" w:sz="0" w:space="0" w:color="auto"/>
            <w:right w:val="none" w:sz="0" w:space="0" w:color="auto"/>
          </w:divBdr>
        </w:div>
        <w:div w:id="1861817412">
          <w:marLeft w:val="0"/>
          <w:marRight w:val="0"/>
          <w:marTop w:val="166"/>
          <w:marBottom w:val="166"/>
          <w:divBdr>
            <w:top w:val="none" w:sz="0" w:space="0" w:color="auto"/>
            <w:left w:val="none" w:sz="0" w:space="0" w:color="auto"/>
            <w:bottom w:val="none" w:sz="0" w:space="0" w:color="auto"/>
            <w:right w:val="none" w:sz="0" w:space="0" w:color="auto"/>
          </w:divBdr>
        </w:div>
        <w:div w:id="1862354268">
          <w:marLeft w:val="0"/>
          <w:marRight w:val="0"/>
          <w:marTop w:val="166"/>
          <w:marBottom w:val="166"/>
          <w:divBdr>
            <w:top w:val="none" w:sz="0" w:space="0" w:color="auto"/>
            <w:left w:val="none" w:sz="0" w:space="0" w:color="auto"/>
            <w:bottom w:val="none" w:sz="0" w:space="0" w:color="auto"/>
            <w:right w:val="none" w:sz="0" w:space="0" w:color="auto"/>
          </w:divBdr>
        </w:div>
        <w:div w:id="1865705707">
          <w:marLeft w:val="0"/>
          <w:marRight w:val="0"/>
          <w:marTop w:val="166"/>
          <w:marBottom w:val="166"/>
          <w:divBdr>
            <w:top w:val="none" w:sz="0" w:space="0" w:color="auto"/>
            <w:left w:val="none" w:sz="0" w:space="0" w:color="auto"/>
            <w:bottom w:val="none" w:sz="0" w:space="0" w:color="auto"/>
            <w:right w:val="none" w:sz="0" w:space="0" w:color="auto"/>
          </w:divBdr>
        </w:div>
        <w:div w:id="1886333374">
          <w:marLeft w:val="0"/>
          <w:marRight w:val="0"/>
          <w:marTop w:val="166"/>
          <w:marBottom w:val="166"/>
          <w:divBdr>
            <w:top w:val="none" w:sz="0" w:space="0" w:color="auto"/>
            <w:left w:val="none" w:sz="0" w:space="0" w:color="auto"/>
            <w:bottom w:val="none" w:sz="0" w:space="0" w:color="auto"/>
            <w:right w:val="none" w:sz="0" w:space="0" w:color="auto"/>
          </w:divBdr>
        </w:div>
        <w:div w:id="1889678811">
          <w:marLeft w:val="0"/>
          <w:marRight w:val="0"/>
          <w:marTop w:val="166"/>
          <w:marBottom w:val="166"/>
          <w:divBdr>
            <w:top w:val="none" w:sz="0" w:space="0" w:color="auto"/>
            <w:left w:val="none" w:sz="0" w:space="0" w:color="auto"/>
            <w:bottom w:val="none" w:sz="0" w:space="0" w:color="auto"/>
            <w:right w:val="none" w:sz="0" w:space="0" w:color="auto"/>
          </w:divBdr>
        </w:div>
        <w:div w:id="1890727821">
          <w:marLeft w:val="0"/>
          <w:marRight w:val="0"/>
          <w:marTop w:val="166"/>
          <w:marBottom w:val="166"/>
          <w:divBdr>
            <w:top w:val="none" w:sz="0" w:space="0" w:color="auto"/>
            <w:left w:val="none" w:sz="0" w:space="0" w:color="auto"/>
            <w:bottom w:val="none" w:sz="0" w:space="0" w:color="auto"/>
            <w:right w:val="none" w:sz="0" w:space="0" w:color="auto"/>
          </w:divBdr>
        </w:div>
        <w:div w:id="1911425747">
          <w:marLeft w:val="0"/>
          <w:marRight w:val="0"/>
          <w:marTop w:val="166"/>
          <w:marBottom w:val="166"/>
          <w:divBdr>
            <w:top w:val="none" w:sz="0" w:space="0" w:color="auto"/>
            <w:left w:val="none" w:sz="0" w:space="0" w:color="auto"/>
            <w:bottom w:val="none" w:sz="0" w:space="0" w:color="auto"/>
            <w:right w:val="none" w:sz="0" w:space="0" w:color="auto"/>
          </w:divBdr>
        </w:div>
        <w:div w:id="1923029967">
          <w:marLeft w:val="0"/>
          <w:marRight w:val="0"/>
          <w:marTop w:val="166"/>
          <w:marBottom w:val="166"/>
          <w:divBdr>
            <w:top w:val="none" w:sz="0" w:space="0" w:color="auto"/>
            <w:left w:val="none" w:sz="0" w:space="0" w:color="auto"/>
            <w:bottom w:val="none" w:sz="0" w:space="0" w:color="auto"/>
            <w:right w:val="none" w:sz="0" w:space="0" w:color="auto"/>
          </w:divBdr>
        </w:div>
        <w:div w:id="1929655687">
          <w:marLeft w:val="0"/>
          <w:marRight w:val="0"/>
          <w:marTop w:val="166"/>
          <w:marBottom w:val="166"/>
          <w:divBdr>
            <w:top w:val="none" w:sz="0" w:space="0" w:color="auto"/>
            <w:left w:val="none" w:sz="0" w:space="0" w:color="auto"/>
            <w:bottom w:val="none" w:sz="0" w:space="0" w:color="auto"/>
            <w:right w:val="none" w:sz="0" w:space="0" w:color="auto"/>
          </w:divBdr>
        </w:div>
        <w:div w:id="1931044050">
          <w:marLeft w:val="0"/>
          <w:marRight w:val="0"/>
          <w:marTop w:val="166"/>
          <w:marBottom w:val="166"/>
          <w:divBdr>
            <w:top w:val="none" w:sz="0" w:space="0" w:color="auto"/>
            <w:left w:val="none" w:sz="0" w:space="0" w:color="auto"/>
            <w:bottom w:val="none" w:sz="0" w:space="0" w:color="auto"/>
            <w:right w:val="none" w:sz="0" w:space="0" w:color="auto"/>
          </w:divBdr>
        </w:div>
        <w:div w:id="1944340244">
          <w:marLeft w:val="0"/>
          <w:marRight w:val="0"/>
          <w:marTop w:val="166"/>
          <w:marBottom w:val="166"/>
          <w:divBdr>
            <w:top w:val="none" w:sz="0" w:space="0" w:color="auto"/>
            <w:left w:val="none" w:sz="0" w:space="0" w:color="auto"/>
            <w:bottom w:val="none" w:sz="0" w:space="0" w:color="auto"/>
            <w:right w:val="none" w:sz="0" w:space="0" w:color="auto"/>
          </w:divBdr>
        </w:div>
        <w:div w:id="1946501245">
          <w:marLeft w:val="0"/>
          <w:marRight w:val="0"/>
          <w:marTop w:val="166"/>
          <w:marBottom w:val="166"/>
          <w:divBdr>
            <w:top w:val="none" w:sz="0" w:space="0" w:color="auto"/>
            <w:left w:val="none" w:sz="0" w:space="0" w:color="auto"/>
            <w:bottom w:val="none" w:sz="0" w:space="0" w:color="auto"/>
            <w:right w:val="none" w:sz="0" w:space="0" w:color="auto"/>
          </w:divBdr>
        </w:div>
        <w:div w:id="1967616215">
          <w:marLeft w:val="0"/>
          <w:marRight w:val="0"/>
          <w:marTop w:val="166"/>
          <w:marBottom w:val="166"/>
          <w:divBdr>
            <w:top w:val="none" w:sz="0" w:space="0" w:color="auto"/>
            <w:left w:val="none" w:sz="0" w:space="0" w:color="auto"/>
            <w:bottom w:val="none" w:sz="0" w:space="0" w:color="auto"/>
            <w:right w:val="none" w:sz="0" w:space="0" w:color="auto"/>
          </w:divBdr>
        </w:div>
        <w:div w:id="1974557735">
          <w:marLeft w:val="0"/>
          <w:marRight w:val="0"/>
          <w:marTop w:val="166"/>
          <w:marBottom w:val="166"/>
          <w:divBdr>
            <w:top w:val="none" w:sz="0" w:space="0" w:color="auto"/>
            <w:left w:val="none" w:sz="0" w:space="0" w:color="auto"/>
            <w:bottom w:val="none" w:sz="0" w:space="0" w:color="auto"/>
            <w:right w:val="none" w:sz="0" w:space="0" w:color="auto"/>
          </w:divBdr>
        </w:div>
        <w:div w:id="1976375573">
          <w:marLeft w:val="0"/>
          <w:marRight w:val="0"/>
          <w:marTop w:val="166"/>
          <w:marBottom w:val="166"/>
          <w:divBdr>
            <w:top w:val="none" w:sz="0" w:space="0" w:color="auto"/>
            <w:left w:val="none" w:sz="0" w:space="0" w:color="auto"/>
            <w:bottom w:val="none" w:sz="0" w:space="0" w:color="auto"/>
            <w:right w:val="none" w:sz="0" w:space="0" w:color="auto"/>
          </w:divBdr>
        </w:div>
        <w:div w:id="1976635725">
          <w:marLeft w:val="0"/>
          <w:marRight w:val="0"/>
          <w:marTop w:val="166"/>
          <w:marBottom w:val="166"/>
          <w:divBdr>
            <w:top w:val="none" w:sz="0" w:space="0" w:color="auto"/>
            <w:left w:val="none" w:sz="0" w:space="0" w:color="auto"/>
            <w:bottom w:val="none" w:sz="0" w:space="0" w:color="auto"/>
            <w:right w:val="none" w:sz="0" w:space="0" w:color="auto"/>
          </w:divBdr>
        </w:div>
        <w:div w:id="1978802257">
          <w:marLeft w:val="0"/>
          <w:marRight w:val="0"/>
          <w:marTop w:val="166"/>
          <w:marBottom w:val="166"/>
          <w:divBdr>
            <w:top w:val="none" w:sz="0" w:space="0" w:color="auto"/>
            <w:left w:val="none" w:sz="0" w:space="0" w:color="auto"/>
            <w:bottom w:val="none" w:sz="0" w:space="0" w:color="auto"/>
            <w:right w:val="none" w:sz="0" w:space="0" w:color="auto"/>
          </w:divBdr>
        </w:div>
        <w:div w:id="1987321842">
          <w:marLeft w:val="0"/>
          <w:marRight w:val="0"/>
          <w:marTop w:val="166"/>
          <w:marBottom w:val="166"/>
          <w:divBdr>
            <w:top w:val="none" w:sz="0" w:space="0" w:color="auto"/>
            <w:left w:val="none" w:sz="0" w:space="0" w:color="auto"/>
            <w:bottom w:val="none" w:sz="0" w:space="0" w:color="auto"/>
            <w:right w:val="none" w:sz="0" w:space="0" w:color="auto"/>
          </w:divBdr>
        </w:div>
        <w:div w:id="1992244918">
          <w:marLeft w:val="0"/>
          <w:marRight w:val="0"/>
          <w:marTop w:val="166"/>
          <w:marBottom w:val="166"/>
          <w:divBdr>
            <w:top w:val="none" w:sz="0" w:space="0" w:color="auto"/>
            <w:left w:val="none" w:sz="0" w:space="0" w:color="auto"/>
            <w:bottom w:val="none" w:sz="0" w:space="0" w:color="auto"/>
            <w:right w:val="none" w:sz="0" w:space="0" w:color="auto"/>
          </w:divBdr>
        </w:div>
        <w:div w:id="2016491646">
          <w:marLeft w:val="0"/>
          <w:marRight w:val="0"/>
          <w:marTop w:val="166"/>
          <w:marBottom w:val="166"/>
          <w:divBdr>
            <w:top w:val="none" w:sz="0" w:space="0" w:color="auto"/>
            <w:left w:val="none" w:sz="0" w:space="0" w:color="auto"/>
            <w:bottom w:val="none" w:sz="0" w:space="0" w:color="auto"/>
            <w:right w:val="none" w:sz="0" w:space="0" w:color="auto"/>
          </w:divBdr>
        </w:div>
        <w:div w:id="2021926309">
          <w:marLeft w:val="0"/>
          <w:marRight w:val="0"/>
          <w:marTop w:val="166"/>
          <w:marBottom w:val="166"/>
          <w:divBdr>
            <w:top w:val="none" w:sz="0" w:space="0" w:color="auto"/>
            <w:left w:val="none" w:sz="0" w:space="0" w:color="auto"/>
            <w:bottom w:val="none" w:sz="0" w:space="0" w:color="auto"/>
            <w:right w:val="none" w:sz="0" w:space="0" w:color="auto"/>
          </w:divBdr>
        </w:div>
        <w:div w:id="2031835405">
          <w:marLeft w:val="0"/>
          <w:marRight w:val="0"/>
          <w:marTop w:val="166"/>
          <w:marBottom w:val="166"/>
          <w:divBdr>
            <w:top w:val="none" w:sz="0" w:space="0" w:color="auto"/>
            <w:left w:val="none" w:sz="0" w:space="0" w:color="auto"/>
            <w:bottom w:val="none" w:sz="0" w:space="0" w:color="auto"/>
            <w:right w:val="none" w:sz="0" w:space="0" w:color="auto"/>
          </w:divBdr>
        </w:div>
        <w:div w:id="2033724946">
          <w:marLeft w:val="0"/>
          <w:marRight w:val="0"/>
          <w:marTop w:val="166"/>
          <w:marBottom w:val="166"/>
          <w:divBdr>
            <w:top w:val="none" w:sz="0" w:space="0" w:color="auto"/>
            <w:left w:val="none" w:sz="0" w:space="0" w:color="auto"/>
            <w:bottom w:val="none" w:sz="0" w:space="0" w:color="auto"/>
            <w:right w:val="none" w:sz="0" w:space="0" w:color="auto"/>
          </w:divBdr>
        </w:div>
        <w:div w:id="2043627313">
          <w:marLeft w:val="0"/>
          <w:marRight w:val="0"/>
          <w:marTop w:val="166"/>
          <w:marBottom w:val="166"/>
          <w:divBdr>
            <w:top w:val="none" w:sz="0" w:space="0" w:color="auto"/>
            <w:left w:val="none" w:sz="0" w:space="0" w:color="auto"/>
            <w:bottom w:val="none" w:sz="0" w:space="0" w:color="auto"/>
            <w:right w:val="none" w:sz="0" w:space="0" w:color="auto"/>
          </w:divBdr>
        </w:div>
        <w:div w:id="2052418208">
          <w:marLeft w:val="0"/>
          <w:marRight w:val="0"/>
          <w:marTop w:val="166"/>
          <w:marBottom w:val="166"/>
          <w:divBdr>
            <w:top w:val="none" w:sz="0" w:space="0" w:color="auto"/>
            <w:left w:val="none" w:sz="0" w:space="0" w:color="auto"/>
            <w:bottom w:val="none" w:sz="0" w:space="0" w:color="auto"/>
            <w:right w:val="none" w:sz="0" w:space="0" w:color="auto"/>
          </w:divBdr>
        </w:div>
        <w:div w:id="2052999270">
          <w:marLeft w:val="0"/>
          <w:marRight w:val="0"/>
          <w:marTop w:val="166"/>
          <w:marBottom w:val="166"/>
          <w:divBdr>
            <w:top w:val="none" w:sz="0" w:space="0" w:color="auto"/>
            <w:left w:val="none" w:sz="0" w:space="0" w:color="auto"/>
            <w:bottom w:val="none" w:sz="0" w:space="0" w:color="auto"/>
            <w:right w:val="none" w:sz="0" w:space="0" w:color="auto"/>
          </w:divBdr>
        </w:div>
        <w:div w:id="2054304576">
          <w:marLeft w:val="0"/>
          <w:marRight w:val="0"/>
          <w:marTop w:val="166"/>
          <w:marBottom w:val="166"/>
          <w:divBdr>
            <w:top w:val="none" w:sz="0" w:space="0" w:color="auto"/>
            <w:left w:val="none" w:sz="0" w:space="0" w:color="auto"/>
            <w:bottom w:val="none" w:sz="0" w:space="0" w:color="auto"/>
            <w:right w:val="none" w:sz="0" w:space="0" w:color="auto"/>
          </w:divBdr>
        </w:div>
        <w:div w:id="2057242334">
          <w:marLeft w:val="0"/>
          <w:marRight w:val="0"/>
          <w:marTop w:val="166"/>
          <w:marBottom w:val="166"/>
          <w:divBdr>
            <w:top w:val="none" w:sz="0" w:space="0" w:color="auto"/>
            <w:left w:val="none" w:sz="0" w:space="0" w:color="auto"/>
            <w:bottom w:val="none" w:sz="0" w:space="0" w:color="auto"/>
            <w:right w:val="none" w:sz="0" w:space="0" w:color="auto"/>
          </w:divBdr>
        </w:div>
        <w:div w:id="2070883183">
          <w:marLeft w:val="0"/>
          <w:marRight w:val="0"/>
          <w:marTop w:val="166"/>
          <w:marBottom w:val="166"/>
          <w:divBdr>
            <w:top w:val="none" w:sz="0" w:space="0" w:color="auto"/>
            <w:left w:val="none" w:sz="0" w:space="0" w:color="auto"/>
            <w:bottom w:val="none" w:sz="0" w:space="0" w:color="auto"/>
            <w:right w:val="none" w:sz="0" w:space="0" w:color="auto"/>
          </w:divBdr>
        </w:div>
        <w:div w:id="2075738206">
          <w:marLeft w:val="0"/>
          <w:marRight w:val="0"/>
          <w:marTop w:val="166"/>
          <w:marBottom w:val="166"/>
          <w:divBdr>
            <w:top w:val="none" w:sz="0" w:space="0" w:color="auto"/>
            <w:left w:val="none" w:sz="0" w:space="0" w:color="auto"/>
            <w:bottom w:val="none" w:sz="0" w:space="0" w:color="auto"/>
            <w:right w:val="none" w:sz="0" w:space="0" w:color="auto"/>
          </w:divBdr>
        </w:div>
        <w:div w:id="2078626786">
          <w:marLeft w:val="0"/>
          <w:marRight w:val="0"/>
          <w:marTop w:val="166"/>
          <w:marBottom w:val="166"/>
          <w:divBdr>
            <w:top w:val="none" w:sz="0" w:space="0" w:color="auto"/>
            <w:left w:val="none" w:sz="0" w:space="0" w:color="auto"/>
            <w:bottom w:val="none" w:sz="0" w:space="0" w:color="auto"/>
            <w:right w:val="none" w:sz="0" w:space="0" w:color="auto"/>
          </w:divBdr>
        </w:div>
        <w:div w:id="2085374209">
          <w:marLeft w:val="0"/>
          <w:marRight w:val="0"/>
          <w:marTop w:val="166"/>
          <w:marBottom w:val="166"/>
          <w:divBdr>
            <w:top w:val="none" w:sz="0" w:space="0" w:color="auto"/>
            <w:left w:val="none" w:sz="0" w:space="0" w:color="auto"/>
            <w:bottom w:val="none" w:sz="0" w:space="0" w:color="auto"/>
            <w:right w:val="none" w:sz="0" w:space="0" w:color="auto"/>
          </w:divBdr>
        </w:div>
        <w:div w:id="2089884275">
          <w:marLeft w:val="0"/>
          <w:marRight w:val="0"/>
          <w:marTop w:val="166"/>
          <w:marBottom w:val="166"/>
          <w:divBdr>
            <w:top w:val="none" w:sz="0" w:space="0" w:color="auto"/>
            <w:left w:val="none" w:sz="0" w:space="0" w:color="auto"/>
            <w:bottom w:val="none" w:sz="0" w:space="0" w:color="auto"/>
            <w:right w:val="none" w:sz="0" w:space="0" w:color="auto"/>
          </w:divBdr>
        </w:div>
        <w:div w:id="2110076974">
          <w:marLeft w:val="0"/>
          <w:marRight w:val="0"/>
          <w:marTop w:val="166"/>
          <w:marBottom w:val="166"/>
          <w:divBdr>
            <w:top w:val="none" w:sz="0" w:space="0" w:color="auto"/>
            <w:left w:val="none" w:sz="0" w:space="0" w:color="auto"/>
            <w:bottom w:val="none" w:sz="0" w:space="0" w:color="auto"/>
            <w:right w:val="none" w:sz="0" w:space="0" w:color="auto"/>
          </w:divBdr>
        </w:div>
        <w:div w:id="2136481947">
          <w:marLeft w:val="0"/>
          <w:marRight w:val="0"/>
          <w:marTop w:val="166"/>
          <w:marBottom w:val="166"/>
          <w:divBdr>
            <w:top w:val="none" w:sz="0" w:space="0" w:color="auto"/>
            <w:left w:val="none" w:sz="0" w:space="0" w:color="auto"/>
            <w:bottom w:val="none" w:sz="0" w:space="0" w:color="auto"/>
            <w:right w:val="none" w:sz="0" w:space="0" w:color="auto"/>
          </w:divBdr>
        </w:div>
        <w:div w:id="2139491406">
          <w:marLeft w:val="0"/>
          <w:marRight w:val="0"/>
          <w:marTop w:val="166"/>
          <w:marBottom w:val="166"/>
          <w:divBdr>
            <w:top w:val="none" w:sz="0" w:space="0" w:color="auto"/>
            <w:left w:val="none" w:sz="0" w:space="0" w:color="auto"/>
            <w:bottom w:val="none" w:sz="0" w:space="0" w:color="auto"/>
            <w:right w:val="none" w:sz="0" w:space="0" w:color="auto"/>
          </w:divBdr>
        </w:div>
        <w:div w:id="2142579174">
          <w:marLeft w:val="0"/>
          <w:marRight w:val="0"/>
          <w:marTop w:val="166"/>
          <w:marBottom w:val="166"/>
          <w:divBdr>
            <w:top w:val="none" w:sz="0" w:space="0" w:color="auto"/>
            <w:left w:val="none" w:sz="0" w:space="0" w:color="auto"/>
            <w:bottom w:val="none" w:sz="0" w:space="0" w:color="auto"/>
            <w:right w:val="none" w:sz="0" w:space="0" w:color="auto"/>
          </w:divBdr>
        </w:div>
      </w:divsChild>
    </w:div>
    <w:div w:id="551044914">
      <w:bodyDiv w:val="1"/>
      <w:marLeft w:val="0"/>
      <w:marRight w:val="0"/>
      <w:marTop w:val="0"/>
      <w:marBottom w:val="0"/>
      <w:divBdr>
        <w:top w:val="none" w:sz="0" w:space="0" w:color="auto"/>
        <w:left w:val="none" w:sz="0" w:space="0" w:color="auto"/>
        <w:bottom w:val="none" w:sz="0" w:space="0" w:color="auto"/>
        <w:right w:val="none" w:sz="0" w:space="0" w:color="auto"/>
      </w:divBdr>
    </w:div>
    <w:div w:id="600797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ncbi.nlm.nih.gov/pmc/articles/PMC4144270/" TargetMode="External"/><Relationship Id="rId299" Type="http://schemas.openxmlformats.org/officeDocument/2006/relationships/hyperlink" Target="https://www.ncbi.nlm.nih.gov/pmc/articles/PMC4144270/" TargetMode="External"/><Relationship Id="rId21" Type="http://schemas.openxmlformats.org/officeDocument/2006/relationships/image" Target="media/image13.jpeg"/><Relationship Id="rId63" Type="http://schemas.openxmlformats.org/officeDocument/2006/relationships/image" Target="media/image23.jpeg"/><Relationship Id="rId159" Type="http://schemas.openxmlformats.org/officeDocument/2006/relationships/hyperlink" Target="https://www.ncbi.nlm.nih.gov/pmc/articles/PMC4144270/" TargetMode="External"/><Relationship Id="rId324" Type="http://schemas.openxmlformats.org/officeDocument/2006/relationships/hyperlink" Target="https://www.ncbi.nlm.nih.gov/pmc/articles/PMC4144270/" TargetMode="External"/><Relationship Id="rId366" Type="http://schemas.openxmlformats.org/officeDocument/2006/relationships/hyperlink" Target="https://www.ncbi.nlm.nih.gov/pmc/articles/PMC4144270/" TargetMode="External"/><Relationship Id="rId170" Type="http://schemas.openxmlformats.org/officeDocument/2006/relationships/hyperlink" Target="https://www.ncbi.nlm.nih.gov/pmc/articles/PMC4144270/" TargetMode="External"/><Relationship Id="rId226" Type="http://schemas.openxmlformats.org/officeDocument/2006/relationships/hyperlink" Target="https://www.ncbi.nlm.nih.gov/pmc/articles/PMC4144270/" TargetMode="External"/><Relationship Id="rId433" Type="http://schemas.openxmlformats.org/officeDocument/2006/relationships/hyperlink" Target="http://en.wikipedia.org/wiki/Air_purifier" TargetMode="External"/><Relationship Id="rId268" Type="http://schemas.openxmlformats.org/officeDocument/2006/relationships/hyperlink" Target="https://www.ncbi.nlm.nih.gov/pmc/articles/PMC4144270/" TargetMode="External"/><Relationship Id="rId475" Type="http://schemas.openxmlformats.org/officeDocument/2006/relationships/hyperlink" Target="https://www.ncbi.nlm.nih.gov/pubmed/11678604" TargetMode="External"/><Relationship Id="rId32" Type="http://schemas.openxmlformats.org/officeDocument/2006/relationships/hyperlink" Target="https://www.ncbi.nlm.nih.gov/pmc/articles/PMC4144270/" TargetMode="External"/><Relationship Id="rId74" Type="http://schemas.openxmlformats.org/officeDocument/2006/relationships/hyperlink" Target="https://www.ncbi.nlm.nih.gov/pmc/articles/PMC4144270/" TargetMode="External"/><Relationship Id="rId128" Type="http://schemas.openxmlformats.org/officeDocument/2006/relationships/hyperlink" Target="https://www.ncbi.nlm.nih.gov/pmc/articles/PMC4144270/" TargetMode="External"/><Relationship Id="rId335" Type="http://schemas.openxmlformats.org/officeDocument/2006/relationships/hyperlink" Target="https://www.ncbi.nlm.nih.gov/pmc/articles/PMC4144270/" TargetMode="External"/><Relationship Id="rId377" Type="http://schemas.openxmlformats.org/officeDocument/2006/relationships/hyperlink" Target="https://www.ncbi.nlm.nih.gov/pmc/articles/PMC4144270/" TargetMode="External"/><Relationship Id="rId5" Type="http://schemas.openxmlformats.org/officeDocument/2006/relationships/webSettings" Target="webSettings.xml"/><Relationship Id="rId181" Type="http://schemas.openxmlformats.org/officeDocument/2006/relationships/hyperlink" Target="https://www.ncbi.nlm.nih.gov/pmc/articles/PMC4144270/" TargetMode="External"/><Relationship Id="rId237" Type="http://schemas.openxmlformats.org/officeDocument/2006/relationships/hyperlink" Target="https://www.ncbi.nlm.nih.gov/pmc/articles/PMC4144270/" TargetMode="External"/><Relationship Id="rId402" Type="http://schemas.openxmlformats.org/officeDocument/2006/relationships/hyperlink" Target="http://en.wikipedia.org/wiki/Pollen" TargetMode="External"/><Relationship Id="rId279" Type="http://schemas.openxmlformats.org/officeDocument/2006/relationships/hyperlink" Target="https://www.ncbi.nlm.nih.gov/pmc/articles/PMC4144270/" TargetMode="External"/><Relationship Id="rId444" Type="http://schemas.openxmlformats.org/officeDocument/2006/relationships/hyperlink" Target="http://en.wikipedia.org/wiki/Air_purifier" TargetMode="External"/><Relationship Id="rId486" Type="http://schemas.openxmlformats.org/officeDocument/2006/relationships/hyperlink" Target="https://www.ncbi.nlm.nih.gov/pubmed/10070961" TargetMode="External"/><Relationship Id="rId43" Type="http://schemas.openxmlformats.org/officeDocument/2006/relationships/hyperlink" Target="https://www.ncbi.nlm.nih.gov/pmc/articles/PMC4144270/" TargetMode="External"/><Relationship Id="rId139" Type="http://schemas.openxmlformats.org/officeDocument/2006/relationships/hyperlink" Target="https://www.ncbi.nlm.nih.gov/pmc/articles/PMC4144270/" TargetMode="External"/><Relationship Id="rId290" Type="http://schemas.openxmlformats.org/officeDocument/2006/relationships/hyperlink" Target="https://www.ncbi.nlm.nih.gov/pmc/articles/PMC4144270/" TargetMode="External"/><Relationship Id="rId304" Type="http://schemas.openxmlformats.org/officeDocument/2006/relationships/hyperlink" Target="https://www.ncbi.nlm.nih.gov/pmc/articles/PMC4144270/" TargetMode="External"/><Relationship Id="rId346" Type="http://schemas.openxmlformats.org/officeDocument/2006/relationships/hyperlink" Target="https://www.ncbi.nlm.nih.gov/pmc/articles/PMC4144270/" TargetMode="External"/><Relationship Id="rId388" Type="http://schemas.openxmlformats.org/officeDocument/2006/relationships/image" Target="media/image25.jpeg"/><Relationship Id="rId85" Type="http://schemas.openxmlformats.org/officeDocument/2006/relationships/hyperlink" Target="https://en.wikipedia.org/wiki/Proteinuria" TargetMode="External"/><Relationship Id="rId150" Type="http://schemas.openxmlformats.org/officeDocument/2006/relationships/hyperlink" Target="https://www.ncbi.nlm.nih.gov/pmc/articles/PMC4144270/" TargetMode="External"/><Relationship Id="rId192" Type="http://schemas.openxmlformats.org/officeDocument/2006/relationships/hyperlink" Target="https://www.ncbi.nlm.nih.gov/pmc/articles/PMC4144270/" TargetMode="External"/><Relationship Id="rId206" Type="http://schemas.openxmlformats.org/officeDocument/2006/relationships/hyperlink" Target="https://www.ncbi.nlm.nih.gov/pmc/articles/PMC4144270/" TargetMode="External"/><Relationship Id="rId413" Type="http://schemas.openxmlformats.org/officeDocument/2006/relationships/hyperlink" Target="http://en.wikipedia.org/wiki/Air_purifier" TargetMode="External"/><Relationship Id="rId248" Type="http://schemas.openxmlformats.org/officeDocument/2006/relationships/hyperlink" Target="https://www.ncbi.nlm.nih.gov/pmc/articles/PMC4144270/" TargetMode="External"/><Relationship Id="rId455" Type="http://schemas.openxmlformats.org/officeDocument/2006/relationships/hyperlink" Target="http://en.wikipedia.org/wiki/Oxidant" TargetMode="External"/><Relationship Id="rId497" Type="http://schemas.openxmlformats.org/officeDocument/2006/relationships/fontTable" Target="fontTable.xml"/><Relationship Id="rId12" Type="http://schemas.openxmlformats.org/officeDocument/2006/relationships/image" Target="media/image5.jpeg"/><Relationship Id="rId108" Type="http://schemas.openxmlformats.org/officeDocument/2006/relationships/hyperlink" Target="https://en.wikipedia.org/wiki/Arsenic_poisoning" TargetMode="External"/><Relationship Id="rId315" Type="http://schemas.openxmlformats.org/officeDocument/2006/relationships/hyperlink" Target="https://www.ncbi.nlm.nih.gov/pmc/articles/PMC4144270/" TargetMode="External"/><Relationship Id="rId357" Type="http://schemas.openxmlformats.org/officeDocument/2006/relationships/hyperlink" Target="https://www.ncbi.nlm.nih.gov/pmc/articles/PMC4144270/" TargetMode="External"/><Relationship Id="rId54" Type="http://schemas.openxmlformats.org/officeDocument/2006/relationships/hyperlink" Target="https://www.ncbi.nlm.nih.gov/pmc/articles/PMC4144270/" TargetMode="External"/><Relationship Id="rId96" Type="http://schemas.openxmlformats.org/officeDocument/2006/relationships/hyperlink" Target="https://en.wikipedia.org/wiki/Tremor" TargetMode="External"/><Relationship Id="rId161" Type="http://schemas.openxmlformats.org/officeDocument/2006/relationships/hyperlink" Target="https://www.ncbi.nlm.nih.gov/pmc/articles/PMC4144270/" TargetMode="External"/><Relationship Id="rId217" Type="http://schemas.openxmlformats.org/officeDocument/2006/relationships/hyperlink" Target="https://www.ncbi.nlm.nih.gov/pmc/articles/PMC4144270/" TargetMode="External"/><Relationship Id="rId399" Type="http://schemas.openxmlformats.org/officeDocument/2006/relationships/header" Target="header4.xml"/><Relationship Id="rId259" Type="http://schemas.openxmlformats.org/officeDocument/2006/relationships/hyperlink" Target="https://www.ncbi.nlm.nih.gov/pmc/articles/PMC4144270/" TargetMode="External"/><Relationship Id="rId424" Type="http://schemas.openxmlformats.org/officeDocument/2006/relationships/hyperlink" Target="http://en.wikipedia.org/wiki/Minimum_Efficiency_Reporting_Value" TargetMode="External"/><Relationship Id="rId466" Type="http://schemas.openxmlformats.org/officeDocument/2006/relationships/hyperlink" Target="https://www.ncbi.nlm.nih.gov/pmc/articles/PMC3058949/" TargetMode="External"/><Relationship Id="rId23" Type="http://schemas.openxmlformats.org/officeDocument/2006/relationships/image" Target="media/image15.jpeg"/><Relationship Id="rId119" Type="http://schemas.openxmlformats.org/officeDocument/2006/relationships/hyperlink" Target="https://www.ncbi.nlm.nih.gov/pmc/articles/PMC4144270/" TargetMode="External"/><Relationship Id="rId270" Type="http://schemas.openxmlformats.org/officeDocument/2006/relationships/hyperlink" Target="https://www.ncbi.nlm.nih.gov/pmc/articles/PMC4144270/" TargetMode="External"/><Relationship Id="rId326" Type="http://schemas.openxmlformats.org/officeDocument/2006/relationships/hyperlink" Target="https://www.ncbi.nlm.nih.gov/pmc/articles/PMC4144270/" TargetMode="External"/><Relationship Id="rId65" Type="http://schemas.openxmlformats.org/officeDocument/2006/relationships/hyperlink" Target="https://www.ncbi.nlm.nih.gov/pmc/articles/PMC4144270/" TargetMode="External"/><Relationship Id="rId130" Type="http://schemas.openxmlformats.org/officeDocument/2006/relationships/hyperlink" Target="https://www.ncbi.nlm.nih.gov/pmc/articles/PMC4144270/" TargetMode="External"/><Relationship Id="rId368" Type="http://schemas.openxmlformats.org/officeDocument/2006/relationships/hyperlink" Target="https://www.ncbi.nlm.nih.gov/pmc/articles/PMC4144270/" TargetMode="External"/><Relationship Id="rId172" Type="http://schemas.openxmlformats.org/officeDocument/2006/relationships/hyperlink" Target="https://www.ncbi.nlm.nih.gov/pmc/articles/PMC4144270/" TargetMode="External"/><Relationship Id="rId228" Type="http://schemas.openxmlformats.org/officeDocument/2006/relationships/hyperlink" Target="https://www.ncbi.nlm.nih.gov/pmc/articles/PMC4144270/" TargetMode="External"/><Relationship Id="rId435" Type="http://schemas.openxmlformats.org/officeDocument/2006/relationships/hyperlink" Target="http://en.wikipedia.org/wiki/Air_purifier" TargetMode="External"/><Relationship Id="rId477" Type="http://schemas.openxmlformats.org/officeDocument/2006/relationships/hyperlink" Target="https://www.ncbi.nlm.nih.gov/pubmed/19440407" TargetMode="External"/><Relationship Id="rId281" Type="http://schemas.openxmlformats.org/officeDocument/2006/relationships/hyperlink" Target="https://www.ncbi.nlm.nih.gov/pmc/articles/PMC4144270/" TargetMode="External"/><Relationship Id="rId337" Type="http://schemas.openxmlformats.org/officeDocument/2006/relationships/hyperlink" Target="https://www.ncbi.nlm.nih.gov/pmc/articles/PMC4144270/" TargetMode="External"/><Relationship Id="rId34" Type="http://schemas.openxmlformats.org/officeDocument/2006/relationships/hyperlink" Target="https://www.ncbi.nlm.nih.gov/pmc/articles/PMC4144270/" TargetMode="External"/><Relationship Id="rId76" Type="http://schemas.openxmlformats.org/officeDocument/2006/relationships/hyperlink" Target="https://www.ncbi.nlm.nih.gov/pmc/articles/PMC4144270/" TargetMode="External"/><Relationship Id="rId141" Type="http://schemas.openxmlformats.org/officeDocument/2006/relationships/hyperlink" Target="https://www.ncbi.nlm.nih.gov/pmc/articles/PMC4144270/" TargetMode="External"/><Relationship Id="rId379" Type="http://schemas.openxmlformats.org/officeDocument/2006/relationships/hyperlink" Target="https://www.ncbi.nlm.nih.gov/pmc/articles/PMC4144270/" TargetMode="External"/><Relationship Id="rId7" Type="http://schemas.openxmlformats.org/officeDocument/2006/relationships/endnotes" Target="endnotes.xml"/><Relationship Id="rId183" Type="http://schemas.openxmlformats.org/officeDocument/2006/relationships/hyperlink" Target="https://www.ncbi.nlm.nih.gov/pmc/articles/PMC4144270/" TargetMode="External"/><Relationship Id="rId239" Type="http://schemas.openxmlformats.org/officeDocument/2006/relationships/hyperlink" Target="https://www.ncbi.nlm.nih.gov/pmc/articles/PMC4144270/" TargetMode="External"/><Relationship Id="rId390" Type="http://schemas.openxmlformats.org/officeDocument/2006/relationships/header" Target="header1.xml"/><Relationship Id="rId404" Type="http://schemas.openxmlformats.org/officeDocument/2006/relationships/hyperlink" Target="http://en.wikipedia.org/wiki/Mold" TargetMode="External"/><Relationship Id="rId446" Type="http://schemas.openxmlformats.org/officeDocument/2006/relationships/hyperlink" Target="http://en.wikipedia.org/wiki/Warranty" TargetMode="External"/><Relationship Id="rId250" Type="http://schemas.openxmlformats.org/officeDocument/2006/relationships/hyperlink" Target="https://www.ncbi.nlm.nih.gov/pmc/articles/PMC4144270/" TargetMode="External"/><Relationship Id="rId292" Type="http://schemas.openxmlformats.org/officeDocument/2006/relationships/hyperlink" Target="https://www.ncbi.nlm.nih.gov/pmc/articles/PMC4144270/" TargetMode="External"/><Relationship Id="rId306" Type="http://schemas.openxmlformats.org/officeDocument/2006/relationships/hyperlink" Target="https://www.ncbi.nlm.nih.gov/pmc/articles/PMC4144270/" TargetMode="External"/><Relationship Id="rId488" Type="http://schemas.openxmlformats.org/officeDocument/2006/relationships/hyperlink" Target="https://www.ncbi.nlm.nih.gov/pubmed/14585726" TargetMode="External"/><Relationship Id="rId45" Type="http://schemas.openxmlformats.org/officeDocument/2006/relationships/hyperlink" Target="https://www.ncbi.nlm.nih.gov/pmc/articles/PMC4144270/" TargetMode="External"/><Relationship Id="rId87" Type="http://schemas.openxmlformats.org/officeDocument/2006/relationships/hyperlink" Target="https://en.wikipedia.org/wiki/Diarrhea" TargetMode="External"/><Relationship Id="rId110" Type="http://schemas.openxmlformats.org/officeDocument/2006/relationships/hyperlink" Target="https://en.wikipedia.org/wiki/Neuropathy" TargetMode="External"/><Relationship Id="rId348" Type="http://schemas.openxmlformats.org/officeDocument/2006/relationships/hyperlink" Target="https://www.ncbi.nlm.nih.gov/pmc/articles/PMC4144270/" TargetMode="External"/><Relationship Id="rId152" Type="http://schemas.openxmlformats.org/officeDocument/2006/relationships/hyperlink" Target="https://www.ncbi.nlm.nih.gov/pmc/articles/PMC4144270/" TargetMode="External"/><Relationship Id="rId194" Type="http://schemas.openxmlformats.org/officeDocument/2006/relationships/hyperlink" Target="https://www.ncbi.nlm.nih.gov/pmc/articles/PMC4144270/" TargetMode="External"/><Relationship Id="rId208" Type="http://schemas.openxmlformats.org/officeDocument/2006/relationships/hyperlink" Target="https://www.ncbi.nlm.nih.gov/pmc/articles/PMC4144270/" TargetMode="External"/><Relationship Id="rId415" Type="http://schemas.openxmlformats.org/officeDocument/2006/relationships/hyperlink" Target="http://en.wikipedia.org/wiki/Wikipedia:Citation_needed" TargetMode="External"/><Relationship Id="rId457" Type="http://schemas.openxmlformats.org/officeDocument/2006/relationships/hyperlink" Target="http://en.wikipedia.org/wiki/Toxic_mold" TargetMode="External"/><Relationship Id="rId261" Type="http://schemas.openxmlformats.org/officeDocument/2006/relationships/hyperlink" Target="https://www.ncbi.nlm.nih.gov/pmc/articles/PMC4144270/" TargetMode="External"/><Relationship Id="rId14" Type="http://schemas.openxmlformats.org/officeDocument/2006/relationships/image" Target="media/image7.jpeg"/><Relationship Id="rId56" Type="http://schemas.openxmlformats.org/officeDocument/2006/relationships/hyperlink" Target="https://www.ncbi.nlm.nih.gov/pmc/articles/PMC4144270/" TargetMode="External"/><Relationship Id="rId317" Type="http://schemas.openxmlformats.org/officeDocument/2006/relationships/hyperlink" Target="https://www.ncbi.nlm.nih.gov/pmc/articles/PMC4144270/" TargetMode="External"/><Relationship Id="rId359" Type="http://schemas.openxmlformats.org/officeDocument/2006/relationships/hyperlink" Target="https://www.ncbi.nlm.nih.gov/pmc/articles/PMC4144270/" TargetMode="External"/><Relationship Id="rId98" Type="http://schemas.openxmlformats.org/officeDocument/2006/relationships/hyperlink" Target="https://en.wikipedia.org/wiki/Encephalopathy" TargetMode="External"/><Relationship Id="rId121" Type="http://schemas.openxmlformats.org/officeDocument/2006/relationships/hyperlink" Target="https://www.ncbi.nlm.nih.gov/pmc/articles/PMC4144270/" TargetMode="External"/><Relationship Id="rId163" Type="http://schemas.openxmlformats.org/officeDocument/2006/relationships/hyperlink" Target="https://www.ncbi.nlm.nih.gov/pmc/articles/PMC4144270/" TargetMode="External"/><Relationship Id="rId219" Type="http://schemas.openxmlformats.org/officeDocument/2006/relationships/hyperlink" Target="https://www.ncbi.nlm.nih.gov/pmc/articles/PMC4144270/" TargetMode="External"/><Relationship Id="rId370" Type="http://schemas.openxmlformats.org/officeDocument/2006/relationships/hyperlink" Target="https://www.ncbi.nlm.nih.gov/pmc/articles/PMC4144270/" TargetMode="External"/><Relationship Id="rId426" Type="http://schemas.openxmlformats.org/officeDocument/2006/relationships/hyperlink" Target="http://en.wikipedia.org/wiki/Drag_(physics)" TargetMode="External"/><Relationship Id="rId230" Type="http://schemas.openxmlformats.org/officeDocument/2006/relationships/hyperlink" Target="https://www.ncbi.nlm.nih.gov/pmc/articles/PMC4144270/" TargetMode="External"/><Relationship Id="rId468" Type="http://schemas.openxmlformats.org/officeDocument/2006/relationships/hyperlink" Target="https://www.ncbi.nlm.nih.gov/pubmed/11678608" TargetMode="External"/><Relationship Id="rId25" Type="http://schemas.openxmlformats.org/officeDocument/2006/relationships/image" Target="media/image17.jpeg"/><Relationship Id="rId67" Type="http://schemas.openxmlformats.org/officeDocument/2006/relationships/hyperlink" Target="https://www.ncbi.nlm.nih.gov/pmc/articles/PMC4144270/" TargetMode="External"/><Relationship Id="rId272" Type="http://schemas.openxmlformats.org/officeDocument/2006/relationships/hyperlink" Target="https://www.ncbi.nlm.nih.gov/pmc/articles/PMC4144270/" TargetMode="External"/><Relationship Id="rId328" Type="http://schemas.openxmlformats.org/officeDocument/2006/relationships/hyperlink" Target="https://www.ncbi.nlm.nih.gov/pmc/articles/PMC4144270/" TargetMode="External"/><Relationship Id="rId132" Type="http://schemas.openxmlformats.org/officeDocument/2006/relationships/hyperlink" Target="https://www.ncbi.nlm.nih.gov/pmc/articles/PMC4144270/" TargetMode="External"/><Relationship Id="rId174" Type="http://schemas.openxmlformats.org/officeDocument/2006/relationships/hyperlink" Target="https://www.ncbi.nlm.nih.gov/pmc/articles/PMC4144270/" TargetMode="External"/><Relationship Id="rId381" Type="http://schemas.openxmlformats.org/officeDocument/2006/relationships/hyperlink" Target="https://www.ncbi.nlm.nih.gov/pmc/articles/PMC4144270/" TargetMode="External"/><Relationship Id="rId241" Type="http://schemas.openxmlformats.org/officeDocument/2006/relationships/hyperlink" Target="https://www.ncbi.nlm.nih.gov/pmc/articles/PMC4144270/" TargetMode="External"/><Relationship Id="rId437" Type="http://schemas.openxmlformats.org/officeDocument/2006/relationships/hyperlink" Target="http://en.wikipedia.org/wiki/Photocatalysis" TargetMode="External"/><Relationship Id="rId479" Type="http://schemas.openxmlformats.org/officeDocument/2006/relationships/hyperlink" Target="https://www.ncbi.nlm.nih.gov/pubmed/18508361" TargetMode="External"/><Relationship Id="rId36" Type="http://schemas.openxmlformats.org/officeDocument/2006/relationships/hyperlink" Target="https://www.ncbi.nlm.nih.gov/pmc/articles/PMC4144270/" TargetMode="External"/><Relationship Id="rId283" Type="http://schemas.openxmlformats.org/officeDocument/2006/relationships/hyperlink" Target="https://www.ncbi.nlm.nih.gov/pmc/articles/PMC4144270/" TargetMode="External"/><Relationship Id="rId339" Type="http://schemas.openxmlformats.org/officeDocument/2006/relationships/hyperlink" Target="https://www.ncbi.nlm.nih.gov/pmc/articles/PMC4144270/" TargetMode="External"/><Relationship Id="rId490" Type="http://schemas.openxmlformats.org/officeDocument/2006/relationships/hyperlink" Target="https://www.ncbi.nlm.nih.gov/pubmed/16823087" TargetMode="External"/><Relationship Id="rId78" Type="http://schemas.openxmlformats.org/officeDocument/2006/relationships/hyperlink" Target="https://www.ncbi.nlm.nih.gov/pmc/articles/PMC4144270/" TargetMode="External"/><Relationship Id="rId101" Type="http://schemas.openxmlformats.org/officeDocument/2006/relationships/hyperlink" Target="https://en.wikipedia.org/wiki/Wrist_drop" TargetMode="External"/><Relationship Id="rId143" Type="http://schemas.openxmlformats.org/officeDocument/2006/relationships/hyperlink" Target="https://www.ncbi.nlm.nih.gov/pmc/articles/PMC4144270/" TargetMode="External"/><Relationship Id="rId185" Type="http://schemas.openxmlformats.org/officeDocument/2006/relationships/hyperlink" Target="https://www.ncbi.nlm.nih.gov/pmc/articles/PMC4144270/" TargetMode="External"/><Relationship Id="rId350" Type="http://schemas.openxmlformats.org/officeDocument/2006/relationships/hyperlink" Target="https://www.ncbi.nlm.nih.gov/pmc/articles/PMC4144270/" TargetMode="External"/><Relationship Id="rId406" Type="http://schemas.openxmlformats.org/officeDocument/2006/relationships/hyperlink" Target="http://en.wikipedia.org/wiki/Dust_mite" TargetMode="External"/><Relationship Id="rId9" Type="http://schemas.openxmlformats.org/officeDocument/2006/relationships/image" Target="media/image2.jpeg"/><Relationship Id="rId210" Type="http://schemas.openxmlformats.org/officeDocument/2006/relationships/hyperlink" Target="https://www.ncbi.nlm.nih.gov/pmc/articles/PMC4144270/" TargetMode="External"/><Relationship Id="rId392" Type="http://schemas.openxmlformats.org/officeDocument/2006/relationships/footer" Target="footer2.xml"/><Relationship Id="rId448" Type="http://schemas.openxmlformats.org/officeDocument/2006/relationships/hyperlink" Target="http://en.wikipedia.org/wiki/Air_ionizer" TargetMode="External"/><Relationship Id="rId252" Type="http://schemas.openxmlformats.org/officeDocument/2006/relationships/hyperlink" Target="https://www.ncbi.nlm.nih.gov/pmc/articles/PMC4144270/" TargetMode="External"/><Relationship Id="rId294" Type="http://schemas.openxmlformats.org/officeDocument/2006/relationships/hyperlink" Target="https://www.ncbi.nlm.nih.gov/pmc/articles/PMC4144270/" TargetMode="External"/><Relationship Id="rId308" Type="http://schemas.openxmlformats.org/officeDocument/2006/relationships/hyperlink" Target="https://www.ncbi.nlm.nih.gov/pmc/articles/PMC4144270/" TargetMode="External"/><Relationship Id="rId47" Type="http://schemas.openxmlformats.org/officeDocument/2006/relationships/hyperlink" Target="https://www.ncbi.nlm.nih.gov/pmc/articles/PMC4144270/" TargetMode="External"/><Relationship Id="rId89" Type="http://schemas.openxmlformats.org/officeDocument/2006/relationships/hyperlink" Target="https://en.wikipedia.org/wiki/Vomiting" TargetMode="External"/><Relationship Id="rId112" Type="http://schemas.openxmlformats.org/officeDocument/2006/relationships/hyperlink" Target="https://en.wikipedia.org/wiki/Hypopigmentation" TargetMode="External"/><Relationship Id="rId154" Type="http://schemas.openxmlformats.org/officeDocument/2006/relationships/hyperlink" Target="https://www.ncbi.nlm.nih.gov/pmc/articles/PMC4144270/" TargetMode="External"/><Relationship Id="rId361" Type="http://schemas.openxmlformats.org/officeDocument/2006/relationships/hyperlink" Target="https://www.ncbi.nlm.nih.gov/pmc/articles/PMC4144270/" TargetMode="External"/><Relationship Id="rId196" Type="http://schemas.openxmlformats.org/officeDocument/2006/relationships/hyperlink" Target="https://www.ncbi.nlm.nih.gov/pmc/articles/PMC4144270/" TargetMode="External"/><Relationship Id="rId417" Type="http://schemas.openxmlformats.org/officeDocument/2006/relationships/hyperlink" Target="http://en.wikipedia.org/wiki/Air_purifier" TargetMode="External"/><Relationship Id="rId459" Type="http://schemas.openxmlformats.org/officeDocument/2006/relationships/hyperlink" Target="https://www.ncbi.nlm.nih.gov/pubmed/16325528" TargetMode="External"/><Relationship Id="rId16" Type="http://schemas.openxmlformats.org/officeDocument/2006/relationships/image" Target="media/image9.jpeg"/><Relationship Id="rId221" Type="http://schemas.openxmlformats.org/officeDocument/2006/relationships/hyperlink" Target="https://www.ncbi.nlm.nih.gov/pmc/articles/PMC4144270/" TargetMode="External"/><Relationship Id="rId263" Type="http://schemas.openxmlformats.org/officeDocument/2006/relationships/hyperlink" Target="https://www.ncbi.nlm.nih.gov/pmc/articles/PMC4144270/" TargetMode="External"/><Relationship Id="rId319" Type="http://schemas.openxmlformats.org/officeDocument/2006/relationships/hyperlink" Target="https://www.ncbi.nlm.nih.gov/pmc/articles/PMC4144270/" TargetMode="External"/><Relationship Id="rId470" Type="http://schemas.openxmlformats.org/officeDocument/2006/relationships/hyperlink" Target="https://www.ncbi.nlm.nih.gov/pmc/articles/PMC4589149/" TargetMode="External"/><Relationship Id="rId58" Type="http://schemas.openxmlformats.org/officeDocument/2006/relationships/hyperlink" Target="https://www.ncbi.nlm.nih.gov/pmc/articles/PMC4144270/" TargetMode="External"/><Relationship Id="rId123" Type="http://schemas.openxmlformats.org/officeDocument/2006/relationships/hyperlink" Target="https://www.ncbi.nlm.nih.gov/pmc/articles/PMC4144270/" TargetMode="External"/><Relationship Id="rId330" Type="http://schemas.openxmlformats.org/officeDocument/2006/relationships/hyperlink" Target="https://www.ncbi.nlm.nih.gov/pmc/articles/PMC4144270/" TargetMode="External"/><Relationship Id="rId165" Type="http://schemas.openxmlformats.org/officeDocument/2006/relationships/hyperlink" Target="https://www.ncbi.nlm.nih.gov/pmc/articles/PMC4144270/" TargetMode="External"/><Relationship Id="rId372" Type="http://schemas.openxmlformats.org/officeDocument/2006/relationships/hyperlink" Target="https://www.ncbi.nlm.nih.gov/pmc/articles/PMC4144270/" TargetMode="External"/><Relationship Id="rId428" Type="http://schemas.openxmlformats.org/officeDocument/2006/relationships/hyperlink" Target="http://en.wikipedia.org/wiki/Activated_carbon" TargetMode="External"/><Relationship Id="rId232" Type="http://schemas.openxmlformats.org/officeDocument/2006/relationships/hyperlink" Target="https://www.ncbi.nlm.nih.gov/pmc/articles/PMC4144270/" TargetMode="External"/><Relationship Id="rId274" Type="http://schemas.openxmlformats.org/officeDocument/2006/relationships/hyperlink" Target="https://www.ncbi.nlm.nih.gov/pmc/articles/PMC4144270/" TargetMode="External"/><Relationship Id="rId481" Type="http://schemas.openxmlformats.org/officeDocument/2006/relationships/hyperlink" Target="https://www.ncbi.nlm.nih.gov/pubmed/17617676" TargetMode="External"/><Relationship Id="rId27" Type="http://schemas.openxmlformats.org/officeDocument/2006/relationships/image" Target="media/image19.jpeg"/><Relationship Id="rId69" Type="http://schemas.openxmlformats.org/officeDocument/2006/relationships/hyperlink" Target="https://www.ncbi.nlm.nih.gov/pmc/articles/PMC4144270/" TargetMode="External"/><Relationship Id="rId134" Type="http://schemas.openxmlformats.org/officeDocument/2006/relationships/hyperlink" Target="https://www.ncbi.nlm.nih.gov/pmc/articles/PMC4144270/" TargetMode="External"/><Relationship Id="rId80" Type="http://schemas.openxmlformats.org/officeDocument/2006/relationships/hyperlink" Target="https://www.ncbi.nlm.nih.gov/pmc/articles/PMC4144270/" TargetMode="External"/><Relationship Id="rId176" Type="http://schemas.openxmlformats.org/officeDocument/2006/relationships/hyperlink" Target="https://www.ncbi.nlm.nih.gov/pmc/articles/PMC4144270/" TargetMode="External"/><Relationship Id="rId341" Type="http://schemas.openxmlformats.org/officeDocument/2006/relationships/hyperlink" Target="https://www.ncbi.nlm.nih.gov/pmc/articles/PMC4144270/" TargetMode="External"/><Relationship Id="rId383" Type="http://schemas.openxmlformats.org/officeDocument/2006/relationships/hyperlink" Target="https://www.ncbi.nlm.nih.gov/pmc/articles/PMC4144270/" TargetMode="External"/><Relationship Id="rId439" Type="http://schemas.openxmlformats.org/officeDocument/2006/relationships/hyperlink" Target="http://en.wikipedia.org/wiki/Ultraviolet" TargetMode="External"/><Relationship Id="rId201" Type="http://schemas.openxmlformats.org/officeDocument/2006/relationships/hyperlink" Target="https://www.ncbi.nlm.nih.gov/pmc/articles/PMC4144270/" TargetMode="External"/><Relationship Id="rId243" Type="http://schemas.openxmlformats.org/officeDocument/2006/relationships/hyperlink" Target="https://www.ncbi.nlm.nih.gov/pmc/articles/PMC4144270/" TargetMode="External"/><Relationship Id="rId285" Type="http://schemas.openxmlformats.org/officeDocument/2006/relationships/hyperlink" Target="https://www.ncbi.nlm.nih.gov/pmc/articles/PMC4144270/" TargetMode="External"/><Relationship Id="rId450" Type="http://schemas.openxmlformats.org/officeDocument/2006/relationships/hyperlink" Target="http://en.wikipedia.org/wiki/Electrostatic" TargetMode="External"/><Relationship Id="rId38" Type="http://schemas.openxmlformats.org/officeDocument/2006/relationships/hyperlink" Target="https://www.ncbi.nlm.nih.gov/pmc/articles/PMC4144270/" TargetMode="External"/><Relationship Id="rId103" Type="http://schemas.openxmlformats.org/officeDocument/2006/relationships/hyperlink" Target="https://en.wikipedia.org/wiki/Gastrointestinal_hemorrhage" TargetMode="External"/><Relationship Id="rId310" Type="http://schemas.openxmlformats.org/officeDocument/2006/relationships/hyperlink" Target="https://www.ncbi.nlm.nih.gov/pmc/articles/PMC4144270/" TargetMode="External"/><Relationship Id="rId492" Type="http://schemas.openxmlformats.org/officeDocument/2006/relationships/hyperlink" Target="https://www.ncbi.nlm.nih.gov/pubmed/9349827" TargetMode="External"/><Relationship Id="rId91" Type="http://schemas.openxmlformats.org/officeDocument/2006/relationships/hyperlink" Target="https://en.wikipedia.org/wiki/Nausea" TargetMode="External"/><Relationship Id="rId145" Type="http://schemas.openxmlformats.org/officeDocument/2006/relationships/hyperlink" Target="https://www.ncbi.nlm.nih.gov/pmc/articles/PMC4144270/" TargetMode="External"/><Relationship Id="rId187" Type="http://schemas.openxmlformats.org/officeDocument/2006/relationships/hyperlink" Target="https://www.ncbi.nlm.nih.gov/pmc/articles/PMC4144270/" TargetMode="External"/><Relationship Id="rId352" Type="http://schemas.openxmlformats.org/officeDocument/2006/relationships/hyperlink" Target="https://www.ncbi.nlm.nih.gov/pmc/articles/PMC4144270/" TargetMode="External"/><Relationship Id="rId394" Type="http://schemas.openxmlformats.org/officeDocument/2006/relationships/image" Target="media/image28.jpeg"/><Relationship Id="rId408" Type="http://schemas.openxmlformats.org/officeDocument/2006/relationships/hyperlink" Target="http://en.wikipedia.org/wiki/Allergens" TargetMode="External"/><Relationship Id="rId212" Type="http://schemas.openxmlformats.org/officeDocument/2006/relationships/hyperlink" Target="https://www.ncbi.nlm.nih.gov/pmc/articles/PMC4144270/" TargetMode="External"/><Relationship Id="rId254" Type="http://schemas.openxmlformats.org/officeDocument/2006/relationships/hyperlink" Target="https://www.ncbi.nlm.nih.gov/pmc/articles/PMC4144270/" TargetMode="External"/><Relationship Id="rId49" Type="http://schemas.openxmlformats.org/officeDocument/2006/relationships/hyperlink" Target="https://www.ncbi.nlm.nih.gov/pmc/articles/PMC4144270/" TargetMode="External"/><Relationship Id="rId114" Type="http://schemas.openxmlformats.org/officeDocument/2006/relationships/hyperlink" Target="https://en.wikipedia.org/wiki/Cancer" TargetMode="External"/><Relationship Id="rId296" Type="http://schemas.openxmlformats.org/officeDocument/2006/relationships/hyperlink" Target="https://www.ncbi.nlm.nih.gov/pmc/articles/PMC4144270/" TargetMode="External"/><Relationship Id="rId461" Type="http://schemas.openxmlformats.org/officeDocument/2006/relationships/hyperlink" Target="https://www.ncbi.nlm.nih.gov/pubmed/9514035" TargetMode="External"/><Relationship Id="rId60" Type="http://schemas.openxmlformats.org/officeDocument/2006/relationships/hyperlink" Target="https://www.ncbi.nlm.nih.gov/pmc/articles/PMC4144270/" TargetMode="External"/><Relationship Id="rId156" Type="http://schemas.openxmlformats.org/officeDocument/2006/relationships/hyperlink" Target="https://www.ncbi.nlm.nih.gov/pmc/articles/PMC4144270/" TargetMode="External"/><Relationship Id="rId198" Type="http://schemas.openxmlformats.org/officeDocument/2006/relationships/hyperlink" Target="https://www.ncbi.nlm.nih.gov/pmc/articles/PMC4144270/" TargetMode="External"/><Relationship Id="rId321" Type="http://schemas.openxmlformats.org/officeDocument/2006/relationships/hyperlink" Target="https://www.ncbi.nlm.nih.gov/pmc/articles/PMC4144270/" TargetMode="External"/><Relationship Id="rId363" Type="http://schemas.openxmlformats.org/officeDocument/2006/relationships/hyperlink" Target="https://www.ncbi.nlm.nih.gov/pmc/articles/PMC4144270/" TargetMode="External"/><Relationship Id="rId419" Type="http://schemas.openxmlformats.org/officeDocument/2006/relationships/hyperlink" Target="http://en.wikipedia.org/wiki/Air_purifier" TargetMode="External"/><Relationship Id="rId223" Type="http://schemas.openxmlformats.org/officeDocument/2006/relationships/hyperlink" Target="https://www.ncbi.nlm.nih.gov/pmc/articles/PMC4144270/" TargetMode="External"/><Relationship Id="rId430" Type="http://schemas.openxmlformats.org/officeDocument/2006/relationships/hyperlink" Target="http://en.wikipedia.org/wiki/Adsorption" TargetMode="External"/><Relationship Id="rId18" Type="http://schemas.openxmlformats.org/officeDocument/2006/relationships/image" Target="media/image11.jpeg"/><Relationship Id="rId265" Type="http://schemas.openxmlformats.org/officeDocument/2006/relationships/hyperlink" Target="https://www.ncbi.nlm.nih.gov/pmc/articles/PMC4144270/" TargetMode="External"/><Relationship Id="rId472" Type="http://schemas.openxmlformats.org/officeDocument/2006/relationships/hyperlink" Target="https://www.ncbi.nlm.nih.gov/pmc/articles/PMC3760965/" TargetMode="External"/><Relationship Id="rId125" Type="http://schemas.openxmlformats.org/officeDocument/2006/relationships/hyperlink" Target="https://www.ncbi.nlm.nih.gov/pmc/articles/PMC4144270/" TargetMode="External"/><Relationship Id="rId167" Type="http://schemas.openxmlformats.org/officeDocument/2006/relationships/hyperlink" Target="https://www.ncbi.nlm.nih.gov/pmc/articles/PMC4144270/" TargetMode="External"/><Relationship Id="rId332" Type="http://schemas.openxmlformats.org/officeDocument/2006/relationships/hyperlink" Target="https://www.ncbi.nlm.nih.gov/pmc/articles/PMC4144270/" TargetMode="External"/><Relationship Id="rId374" Type="http://schemas.openxmlformats.org/officeDocument/2006/relationships/hyperlink" Target="https://www.ncbi.nlm.nih.gov/pmc/articles/PMC4144270/" TargetMode="External"/><Relationship Id="rId71" Type="http://schemas.openxmlformats.org/officeDocument/2006/relationships/hyperlink" Target="https://www.ncbi.nlm.nih.gov/pmc/articles/PMC4144270/" TargetMode="External"/><Relationship Id="rId234" Type="http://schemas.openxmlformats.org/officeDocument/2006/relationships/hyperlink" Target="https://www.ncbi.nlm.nih.gov/pmc/articles/PMC4144270/" TargetMode="External"/><Relationship Id="rId2" Type="http://schemas.openxmlformats.org/officeDocument/2006/relationships/styles" Target="styles.xml"/><Relationship Id="rId29" Type="http://schemas.openxmlformats.org/officeDocument/2006/relationships/image" Target="media/image21.jpeg"/><Relationship Id="rId276" Type="http://schemas.openxmlformats.org/officeDocument/2006/relationships/hyperlink" Target="https://www.ncbi.nlm.nih.gov/pmc/articles/PMC4144270/" TargetMode="External"/><Relationship Id="rId441" Type="http://schemas.openxmlformats.org/officeDocument/2006/relationships/hyperlink" Target="http://en.wikipedia.org/wiki/Air_purifier" TargetMode="External"/><Relationship Id="rId483" Type="http://schemas.openxmlformats.org/officeDocument/2006/relationships/hyperlink" Target="https://www.ncbi.nlm.nih.gov/pmc/articles/PMC3728579/" TargetMode="External"/><Relationship Id="rId40" Type="http://schemas.openxmlformats.org/officeDocument/2006/relationships/hyperlink" Target="https://www.ncbi.nlm.nih.gov/pmc/articles/PMC4144270/" TargetMode="External"/><Relationship Id="rId136" Type="http://schemas.openxmlformats.org/officeDocument/2006/relationships/hyperlink" Target="https://www.ncbi.nlm.nih.gov/pmc/articles/PMC4144270/" TargetMode="External"/><Relationship Id="rId178" Type="http://schemas.openxmlformats.org/officeDocument/2006/relationships/hyperlink" Target="https://www.ncbi.nlm.nih.gov/pmc/articles/PMC4144270/" TargetMode="External"/><Relationship Id="rId301" Type="http://schemas.openxmlformats.org/officeDocument/2006/relationships/hyperlink" Target="https://www.ncbi.nlm.nih.gov/pmc/articles/PMC4144270/" TargetMode="External"/><Relationship Id="rId343" Type="http://schemas.openxmlformats.org/officeDocument/2006/relationships/hyperlink" Target="https://www.ncbi.nlm.nih.gov/pmc/articles/PMC4144270/" TargetMode="External"/><Relationship Id="rId82" Type="http://schemas.openxmlformats.org/officeDocument/2006/relationships/hyperlink" Target="https://en.wikipedia.org/wiki/Pneumonitis" TargetMode="External"/><Relationship Id="rId203" Type="http://schemas.openxmlformats.org/officeDocument/2006/relationships/hyperlink" Target="https://www.ncbi.nlm.nih.gov/pmc/articles/PMC4144270/" TargetMode="External"/><Relationship Id="rId385" Type="http://schemas.openxmlformats.org/officeDocument/2006/relationships/hyperlink" Target="https://www.ncbi.nlm.nih.gov/pmc/articles/PMC4144270/" TargetMode="External"/><Relationship Id="rId245" Type="http://schemas.openxmlformats.org/officeDocument/2006/relationships/hyperlink" Target="https://www.ncbi.nlm.nih.gov/pmc/articles/PMC4144270/" TargetMode="External"/><Relationship Id="rId287" Type="http://schemas.openxmlformats.org/officeDocument/2006/relationships/hyperlink" Target="https://www.ncbi.nlm.nih.gov/pmc/articles/PMC4144270/" TargetMode="External"/><Relationship Id="rId410" Type="http://schemas.openxmlformats.org/officeDocument/2006/relationships/hyperlink" Target="http://en.wikipedia.org/wiki/Particulate" TargetMode="External"/><Relationship Id="rId452" Type="http://schemas.openxmlformats.org/officeDocument/2006/relationships/hyperlink" Target="http://en.wikipedia.org/wiki/Air_purifier" TargetMode="External"/><Relationship Id="rId494" Type="http://schemas.openxmlformats.org/officeDocument/2006/relationships/header" Target="header7.xml"/><Relationship Id="rId105" Type="http://schemas.openxmlformats.org/officeDocument/2006/relationships/hyperlink" Target="https://en.wikipedia.org/wiki/Acute_renal_failure" TargetMode="External"/><Relationship Id="rId147" Type="http://schemas.openxmlformats.org/officeDocument/2006/relationships/hyperlink" Target="https://www.ncbi.nlm.nih.gov/pmc/articles/PMC4144270/" TargetMode="External"/><Relationship Id="rId312" Type="http://schemas.openxmlformats.org/officeDocument/2006/relationships/hyperlink" Target="https://www.ncbi.nlm.nih.gov/pmc/articles/PMC4144270/" TargetMode="External"/><Relationship Id="rId354" Type="http://schemas.openxmlformats.org/officeDocument/2006/relationships/hyperlink" Target="https://www.ncbi.nlm.nih.gov/pmc/articles/PMC4144270/" TargetMode="External"/><Relationship Id="rId51" Type="http://schemas.openxmlformats.org/officeDocument/2006/relationships/hyperlink" Target="https://www.ncbi.nlm.nih.gov/pmc/articles/PMC4144270/" TargetMode="External"/><Relationship Id="rId93" Type="http://schemas.openxmlformats.org/officeDocument/2006/relationships/hyperlink" Target="https://en.wikipedia.org/wiki/Neurasthenia" TargetMode="External"/><Relationship Id="rId189" Type="http://schemas.openxmlformats.org/officeDocument/2006/relationships/hyperlink" Target="https://www.ncbi.nlm.nih.gov/pmc/articles/PMC4144270/" TargetMode="External"/><Relationship Id="rId396" Type="http://schemas.openxmlformats.org/officeDocument/2006/relationships/footer" Target="footer3.xml"/><Relationship Id="rId214" Type="http://schemas.openxmlformats.org/officeDocument/2006/relationships/hyperlink" Target="https://www.ncbi.nlm.nih.gov/pmc/articles/PMC4144270/" TargetMode="External"/><Relationship Id="rId256" Type="http://schemas.openxmlformats.org/officeDocument/2006/relationships/hyperlink" Target="https://www.ncbi.nlm.nih.gov/pmc/articles/PMC4144270/" TargetMode="External"/><Relationship Id="rId298" Type="http://schemas.openxmlformats.org/officeDocument/2006/relationships/hyperlink" Target="https://www.ncbi.nlm.nih.gov/pmc/articles/PMC4144270/" TargetMode="External"/><Relationship Id="rId421" Type="http://schemas.openxmlformats.org/officeDocument/2006/relationships/hyperlink" Target="http://en.wikipedia.org/wiki/Air_filter" TargetMode="External"/><Relationship Id="rId463" Type="http://schemas.openxmlformats.org/officeDocument/2006/relationships/hyperlink" Target="https://www.ncbi.nlm.nih.gov/pubmed/20526862" TargetMode="External"/><Relationship Id="rId116" Type="http://schemas.openxmlformats.org/officeDocument/2006/relationships/hyperlink" Target="https://www.ncbi.nlm.nih.gov/pmc/articles/PMC4144270/" TargetMode="External"/><Relationship Id="rId158" Type="http://schemas.openxmlformats.org/officeDocument/2006/relationships/hyperlink" Target="https://www.ncbi.nlm.nih.gov/pmc/articles/PMC4144270/" TargetMode="External"/><Relationship Id="rId323" Type="http://schemas.openxmlformats.org/officeDocument/2006/relationships/hyperlink" Target="https://www.ncbi.nlm.nih.gov/pmc/articles/PMC4144270/" TargetMode="External"/><Relationship Id="rId20" Type="http://schemas.openxmlformats.org/officeDocument/2006/relationships/image" Target="media/image120.jpeg"/><Relationship Id="rId62" Type="http://schemas.openxmlformats.org/officeDocument/2006/relationships/hyperlink" Target="https://www.ncbi.nlm.nih.gov/pmc/articles/PMC4144270/" TargetMode="External"/><Relationship Id="rId365" Type="http://schemas.openxmlformats.org/officeDocument/2006/relationships/hyperlink" Target="https://www.ncbi.nlm.nih.gov/pmc/articles/PMC4144270/" TargetMode="External"/><Relationship Id="rId225" Type="http://schemas.openxmlformats.org/officeDocument/2006/relationships/hyperlink" Target="https://www.ncbi.nlm.nih.gov/pmc/articles/PMC4144270/" TargetMode="External"/><Relationship Id="rId267" Type="http://schemas.openxmlformats.org/officeDocument/2006/relationships/hyperlink" Target="https://www.ncbi.nlm.nih.gov/pmc/articles/PMC4144270/" TargetMode="External"/><Relationship Id="rId432" Type="http://schemas.openxmlformats.org/officeDocument/2006/relationships/hyperlink" Target="http://en.wikipedia.org/wiki/Air_purifier" TargetMode="External"/><Relationship Id="rId474" Type="http://schemas.openxmlformats.org/officeDocument/2006/relationships/hyperlink" Target="https://www.ncbi.nlm.nih.gov/pubmed/14971645" TargetMode="External"/><Relationship Id="rId106" Type="http://schemas.openxmlformats.org/officeDocument/2006/relationships/hyperlink" Target="https://en.wikipedia.org/wiki/Pulmonary_fibrosis" TargetMode="External"/><Relationship Id="rId127" Type="http://schemas.openxmlformats.org/officeDocument/2006/relationships/hyperlink" Target="https://www.ncbi.nlm.nih.gov/pmc/articles/PMC4144270/" TargetMode="External"/><Relationship Id="rId313" Type="http://schemas.openxmlformats.org/officeDocument/2006/relationships/hyperlink" Target="https://www.ncbi.nlm.nih.gov/pmc/articles/PMC4144270/" TargetMode="External"/><Relationship Id="rId495" Type="http://schemas.openxmlformats.org/officeDocument/2006/relationships/footer" Target="footer5.xml"/><Relationship Id="rId10" Type="http://schemas.openxmlformats.org/officeDocument/2006/relationships/image" Target="media/image3.jpeg"/><Relationship Id="rId31" Type="http://schemas.openxmlformats.org/officeDocument/2006/relationships/chart" Target="charts/chart1.xml"/><Relationship Id="rId52" Type="http://schemas.openxmlformats.org/officeDocument/2006/relationships/hyperlink" Target="https://www.ncbi.nlm.nih.gov/pmc/articles/PMC4144270/" TargetMode="External"/><Relationship Id="rId73" Type="http://schemas.openxmlformats.org/officeDocument/2006/relationships/hyperlink" Target="https://www.ncbi.nlm.nih.gov/pmc/articles/PMC4144270/" TargetMode="External"/><Relationship Id="rId94" Type="http://schemas.openxmlformats.org/officeDocument/2006/relationships/hyperlink" Target="https://en.wikipedia.org/wiki/Parageusia" TargetMode="External"/><Relationship Id="rId148" Type="http://schemas.openxmlformats.org/officeDocument/2006/relationships/hyperlink" Target="https://www.ncbi.nlm.nih.gov/pmc/articles/PMC4144270/" TargetMode="External"/><Relationship Id="rId169" Type="http://schemas.openxmlformats.org/officeDocument/2006/relationships/hyperlink" Target="https://www.ncbi.nlm.nih.gov/pmc/articles/PMC4144270/" TargetMode="External"/><Relationship Id="rId334" Type="http://schemas.openxmlformats.org/officeDocument/2006/relationships/hyperlink" Target="https://www.ncbi.nlm.nih.gov/pmc/articles/PMC4144270/" TargetMode="External"/><Relationship Id="rId355" Type="http://schemas.openxmlformats.org/officeDocument/2006/relationships/hyperlink" Target="https://www.ncbi.nlm.nih.gov/pmc/articles/PMC4144270/" TargetMode="External"/><Relationship Id="rId376" Type="http://schemas.openxmlformats.org/officeDocument/2006/relationships/hyperlink" Target="https://www.ncbi.nlm.nih.gov/pmc/articles/PMC4144270/" TargetMode="External"/><Relationship Id="rId397" Type="http://schemas.openxmlformats.org/officeDocument/2006/relationships/image" Target="media/image29.jpeg"/><Relationship Id="rId4" Type="http://schemas.openxmlformats.org/officeDocument/2006/relationships/settings" Target="settings.xml"/><Relationship Id="rId180" Type="http://schemas.openxmlformats.org/officeDocument/2006/relationships/hyperlink" Target="https://www.ncbi.nlm.nih.gov/pmc/articles/PMC4144270/" TargetMode="External"/><Relationship Id="rId215" Type="http://schemas.openxmlformats.org/officeDocument/2006/relationships/hyperlink" Target="https://www.ncbi.nlm.nih.gov/pmc/articles/PMC4144270/" TargetMode="External"/><Relationship Id="rId236" Type="http://schemas.openxmlformats.org/officeDocument/2006/relationships/hyperlink" Target="https://www.ncbi.nlm.nih.gov/pmc/articles/PMC4144270/" TargetMode="External"/><Relationship Id="rId257" Type="http://schemas.openxmlformats.org/officeDocument/2006/relationships/hyperlink" Target="https://www.ncbi.nlm.nih.gov/pmc/articles/PMC4144270/" TargetMode="External"/><Relationship Id="rId278" Type="http://schemas.openxmlformats.org/officeDocument/2006/relationships/hyperlink" Target="https://www.ncbi.nlm.nih.gov/pmc/articles/PMC4144270/" TargetMode="External"/><Relationship Id="rId401" Type="http://schemas.openxmlformats.org/officeDocument/2006/relationships/footer" Target="footer4.xml"/><Relationship Id="rId422" Type="http://schemas.openxmlformats.org/officeDocument/2006/relationships/hyperlink" Target="http://en.wikipedia.org/wiki/HEPA" TargetMode="External"/><Relationship Id="rId443" Type="http://schemas.openxmlformats.org/officeDocument/2006/relationships/hyperlink" Target="http://en.wikipedia.org/wiki/Virus" TargetMode="External"/><Relationship Id="rId464" Type="http://schemas.openxmlformats.org/officeDocument/2006/relationships/hyperlink" Target="https://www.ncbi.nlm.nih.gov/pubmed/20077283" TargetMode="External"/><Relationship Id="rId303" Type="http://schemas.openxmlformats.org/officeDocument/2006/relationships/hyperlink" Target="https://www.ncbi.nlm.nih.gov/pmc/articles/PMC4144270/" TargetMode="External"/><Relationship Id="rId485" Type="http://schemas.openxmlformats.org/officeDocument/2006/relationships/hyperlink" Target="https://www.ncbi.nlm.nih.gov/pubmed/10746734" TargetMode="External"/><Relationship Id="rId42" Type="http://schemas.openxmlformats.org/officeDocument/2006/relationships/hyperlink" Target="https://www.ncbi.nlm.nih.gov/pmc/articles/PMC4144270/" TargetMode="External"/><Relationship Id="rId84" Type="http://schemas.openxmlformats.org/officeDocument/2006/relationships/hyperlink" Target="https://en.wikipedia.org/wiki/Osteomalacia" TargetMode="External"/><Relationship Id="rId138" Type="http://schemas.openxmlformats.org/officeDocument/2006/relationships/hyperlink" Target="https://www.ncbi.nlm.nih.gov/pmc/articles/PMC4144270/" TargetMode="External"/><Relationship Id="rId345" Type="http://schemas.openxmlformats.org/officeDocument/2006/relationships/hyperlink" Target="https://www.ncbi.nlm.nih.gov/pmc/articles/PMC4144270/" TargetMode="External"/><Relationship Id="rId387" Type="http://schemas.openxmlformats.org/officeDocument/2006/relationships/hyperlink" Target="https://www.ncbi.nlm.nih.gov/pmc/articles/PMC4144270/" TargetMode="External"/><Relationship Id="rId191" Type="http://schemas.openxmlformats.org/officeDocument/2006/relationships/hyperlink" Target="https://www.ncbi.nlm.nih.gov/pmc/articles/PMC4144270/" TargetMode="External"/><Relationship Id="rId205" Type="http://schemas.openxmlformats.org/officeDocument/2006/relationships/hyperlink" Target="https://www.ncbi.nlm.nih.gov/pmc/articles/PMC4144270/" TargetMode="External"/><Relationship Id="rId247" Type="http://schemas.openxmlformats.org/officeDocument/2006/relationships/hyperlink" Target="https://www.ncbi.nlm.nih.gov/pmc/articles/PMC4144270/" TargetMode="External"/><Relationship Id="rId412" Type="http://schemas.openxmlformats.org/officeDocument/2006/relationships/hyperlink" Target="http://en.wikipedia.org/wiki/Sick_building_syndrome" TargetMode="External"/><Relationship Id="rId107" Type="http://schemas.openxmlformats.org/officeDocument/2006/relationships/hyperlink" Target="https://en.wikipedia.org/wiki/Lung_cancer" TargetMode="External"/><Relationship Id="rId289" Type="http://schemas.openxmlformats.org/officeDocument/2006/relationships/hyperlink" Target="https://www.ncbi.nlm.nih.gov/pmc/articles/PMC4144270/" TargetMode="External"/><Relationship Id="rId454" Type="http://schemas.openxmlformats.org/officeDocument/2006/relationships/hyperlink" Target="http://en.wikipedia.org/wiki/Electrostatic_precipitator" TargetMode="External"/><Relationship Id="rId496" Type="http://schemas.openxmlformats.org/officeDocument/2006/relationships/header" Target="header8.xml"/><Relationship Id="rId11" Type="http://schemas.openxmlformats.org/officeDocument/2006/relationships/image" Target="media/image4.jpeg"/><Relationship Id="rId53" Type="http://schemas.openxmlformats.org/officeDocument/2006/relationships/hyperlink" Target="https://www.ncbi.nlm.nih.gov/pmc/articles/PMC4144270/" TargetMode="External"/><Relationship Id="rId149" Type="http://schemas.openxmlformats.org/officeDocument/2006/relationships/hyperlink" Target="https://www.ncbi.nlm.nih.gov/pmc/articles/PMC4144270/" TargetMode="External"/><Relationship Id="rId314" Type="http://schemas.openxmlformats.org/officeDocument/2006/relationships/hyperlink" Target="https://www.ncbi.nlm.nih.gov/pmc/articles/PMC4144270/" TargetMode="External"/><Relationship Id="rId356" Type="http://schemas.openxmlformats.org/officeDocument/2006/relationships/hyperlink" Target="https://www.ncbi.nlm.nih.gov/pmc/articles/PMC4144270/" TargetMode="External"/><Relationship Id="rId398" Type="http://schemas.openxmlformats.org/officeDocument/2006/relationships/header" Target="header3.xml"/><Relationship Id="rId95" Type="http://schemas.openxmlformats.org/officeDocument/2006/relationships/hyperlink" Target="https://en.wikipedia.org/wiki/Mercury_poisoning" TargetMode="External"/><Relationship Id="rId160" Type="http://schemas.openxmlformats.org/officeDocument/2006/relationships/hyperlink" Target="https://www.ncbi.nlm.nih.gov/pmc/articles/PMC4144270/" TargetMode="External"/><Relationship Id="rId216" Type="http://schemas.openxmlformats.org/officeDocument/2006/relationships/hyperlink" Target="https://www.ncbi.nlm.nih.gov/pmc/articles/PMC4144270/" TargetMode="External"/><Relationship Id="rId423" Type="http://schemas.openxmlformats.org/officeDocument/2006/relationships/hyperlink" Target="http://en.wikipedia.org/wiki/Clean_room" TargetMode="External"/><Relationship Id="rId258" Type="http://schemas.openxmlformats.org/officeDocument/2006/relationships/hyperlink" Target="https://www.ncbi.nlm.nih.gov/pmc/articles/PMC4144270/" TargetMode="External"/><Relationship Id="rId465" Type="http://schemas.openxmlformats.org/officeDocument/2006/relationships/hyperlink" Target="https://www.ncbi.nlm.nih.gov/pubmed/18598583" TargetMode="External"/><Relationship Id="rId22" Type="http://schemas.openxmlformats.org/officeDocument/2006/relationships/image" Target="media/image14.jpeg"/><Relationship Id="rId64" Type="http://schemas.openxmlformats.org/officeDocument/2006/relationships/image" Target="media/image230.jpeg"/><Relationship Id="rId118" Type="http://schemas.openxmlformats.org/officeDocument/2006/relationships/hyperlink" Target="https://www.ncbi.nlm.nih.gov/pmc/articles/PMC4144270/" TargetMode="External"/><Relationship Id="rId325" Type="http://schemas.openxmlformats.org/officeDocument/2006/relationships/hyperlink" Target="https://www.ncbi.nlm.nih.gov/pmc/articles/PMC4144270/" TargetMode="External"/><Relationship Id="rId367" Type="http://schemas.openxmlformats.org/officeDocument/2006/relationships/hyperlink" Target="https://www.ncbi.nlm.nih.gov/pmc/articles/PMC4144270/" TargetMode="External"/><Relationship Id="rId171" Type="http://schemas.openxmlformats.org/officeDocument/2006/relationships/hyperlink" Target="https://www.ncbi.nlm.nih.gov/pmc/articles/PMC4144270/" TargetMode="External"/><Relationship Id="rId227" Type="http://schemas.openxmlformats.org/officeDocument/2006/relationships/hyperlink" Target="https://www.ncbi.nlm.nih.gov/pmc/articles/PMC4144270/" TargetMode="External"/><Relationship Id="rId269" Type="http://schemas.openxmlformats.org/officeDocument/2006/relationships/hyperlink" Target="https://www.ncbi.nlm.nih.gov/pmc/articles/PMC4144270/" TargetMode="External"/><Relationship Id="rId434" Type="http://schemas.openxmlformats.org/officeDocument/2006/relationships/hyperlink" Target="http://en.wikipedia.org/wiki/Air_purifier" TargetMode="External"/><Relationship Id="rId476" Type="http://schemas.openxmlformats.org/officeDocument/2006/relationships/hyperlink" Target="https://www.ncbi.nlm.nih.gov/pmc/articles/PMC2672371/" TargetMode="External"/><Relationship Id="rId33" Type="http://schemas.openxmlformats.org/officeDocument/2006/relationships/hyperlink" Target="https://www.ncbi.nlm.nih.gov/pmc/articles/PMC4144270/" TargetMode="External"/><Relationship Id="rId129" Type="http://schemas.openxmlformats.org/officeDocument/2006/relationships/hyperlink" Target="https://www.ncbi.nlm.nih.gov/pmc/articles/PMC4144270/" TargetMode="External"/><Relationship Id="rId280" Type="http://schemas.openxmlformats.org/officeDocument/2006/relationships/hyperlink" Target="https://www.ncbi.nlm.nih.gov/pmc/articles/PMC4144270/" TargetMode="External"/><Relationship Id="rId336" Type="http://schemas.openxmlformats.org/officeDocument/2006/relationships/hyperlink" Target="https://www.ncbi.nlm.nih.gov/pmc/articles/PMC4144270/" TargetMode="External"/><Relationship Id="rId75" Type="http://schemas.openxmlformats.org/officeDocument/2006/relationships/hyperlink" Target="https://www.ncbi.nlm.nih.gov/pmc/articles/PMC4144270/" TargetMode="External"/><Relationship Id="rId140" Type="http://schemas.openxmlformats.org/officeDocument/2006/relationships/hyperlink" Target="https://www.ncbi.nlm.nih.gov/pmc/articles/PMC4144270/" TargetMode="External"/><Relationship Id="rId182" Type="http://schemas.openxmlformats.org/officeDocument/2006/relationships/hyperlink" Target="https://www.ncbi.nlm.nih.gov/pmc/articles/PMC4144270/" TargetMode="External"/><Relationship Id="rId378" Type="http://schemas.openxmlformats.org/officeDocument/2006/relationships/hyperlink" Target="https://www.ncbi.nlm.nih.gov/pmc/articles/PMC4144270/" TargetMode="External"/><Relationship Id="rId403" Type="http://schemas.openxmlformats.org/officeDocument/2006/relationships/hyperlink" Target="http://en.wikipedia.org/wiki/Dander" TargetMode="External"/><Relationship Id="rId6" Type="http://schemas.openxmlformats.org/officeDocument/2006/relationships/footnotes" Target="footnotes.xml"/><Relationship Id="rId238" Type="http://schemas.openxmlformats.org/officeDocument/2006/relationships/hyperlink" Target="https://www.ncbi.nlm.nih.gov/pmc/articles/PMC4144270/" TargetMode="External"/><Relationship Id="rId445" Type="http://schemas.openxmlformats.org/officeDocument/2006/relationships/hyperlink" Target="http://en.wikipedia.org/wiki/HVAC" TargetMode="External"/><Relationship Id="rId487" Type="http://schemas.openxmlformats.org/officeDocument/2006/relationships/hyperlink" Target="https://www.ncbi.nlm.nih.gov/pubmed/25057575" TargetMode="External"/><Relationship Id="rId291" Type="http://schemas.openxmlformats.org/officeDocument/2006/relationships/hyperlink" Target="https://www.ncbi.nlm.nih.gov/pmc/articles/PMC4144270/" TargetMode="External"/><Relationship Id="rId305" Type="http://schemas.openxmlformats.org/officeDocument/2006/relationships/hyperlink" Target="https://www.ncbi.nlm.nih.gov/pmc/articles/PMC4144270/" TargetMode="External"/><Relationship Id="rId347" Type="http://schemas.openxmlformats.org/officeDocument/2006/relationships/hyperlink" Target="https://www.ncbi.nlm.nih.gov/pmc/articles/PMC4144270/" TargetMode="External"/><Relationship Id="rId44" Type="http://schemas.openxmlformats.org/officeDocument/2006/relationships/hyperlink" Target="https://www.ncbi.nlm.nih.gov/pmc/articles/PMC4144270/" TargetMode="External"/><Relationship Id="rId86" Type="http://schemas.openxmlformats.org/officeDocument/2006/relationships/hyperlink" Target="https://en.wikipedia.org/wiki/Mercury_poisoning" TargetMode="External"/><Relationship Id="rId151" Type="http://schemas.openxmlformats.org/officeDocument/2006/relationships/hyperlink" Target="https://www.ncbi.nlm.nih.gov/pmc/articles/PMC4144270/" TargetMode="External"/><Relationship Id="rId389" Type="http://schemas.openxmlformats.org/officeDocument/2006/relationships/image" Target="media/image26.jpeg"/><Relationship Id="rId193" Type="http://schemas.openxmlformats.org/officeDocument/2006/relationships/hyperlink" Target="https://www.ncbi.nlm.nih.gov/pmc/articles/PMC4144270/" TargetMode="External"/><Relationship Id="rId207" Type="http://schemas.openxmlformats.org/officeDocument/2006/relationships/hyperlink" Target="https://www.ncbi.nlm.nih.gov/pmc/articles/PMC4144270/" TargetMode="External"/><Relationship Id="rId249" Type="http://schemas.openxmlformats.org/officeDocument/2006/relationships/hyperlink" Target="https://www.ncbi.nlm.nih.gov/pmc/articles/PMC4144270/" TargetMode="External"/><Relationship Id="rId414" Type="http://schemas.openxmlformats.org/officeDocument/2006/relationships/hyperlink" Target="http://en.wikipedia.org/wiki/Wikipedia:Vagueness" TargetMode="External"/><Relationship Id="rId456" Type="http://schemas.openxmlformats.org/officeDocument/2006/relationships/hyperlink" Target="http://en.wikipedia.org/wiki/Mold_remediation" TargetMode="External"/><Relationship Id="rId498" Type="http://schemas.openxmlformats.org/officeDocument/2006/relationships/theme" Target="theme/theme1.xml"/><Relationship Id="rId13" Type="http://schemas.openxmlformats.org/officeDocument/2006/relationships/image" Target="media/image6.jpeg"/><Relationship Id="rId109" Type="http://schemas.openxmlformats.org/officeDocument/2006/relationships/hyperlink" Target="https://en.wikipedia.org/wiki/Heart_arrhythmia" TargetMode="External"/><Relationship Id="rId260" Type="http://schemas.openxmlformats.org/officeDocument/2006/relationships/hyperlink" Target="https://www.ncbi.nlm.nih.gov/pmc/articles/PMC4144270/" TargetMode="External"/><Relationship Id="rId316" Type="http://schemas.openxmlformats.org/officeDocument/2006/relationships/hyperlink" Target="https://www.ncbi.nlm.nih.gov/pmc/articles/PMC4144270/" TargetMode="External"/><Relationship Id="rId55" Type="http://schemas.openxmlformats.org/officeDocument/2006/relationships/hyperlink" Target="https://www.ncbi.nlm.nih.gov/pmc/articles/PMC4144270/" TargetMode="External"/><Relationship Id="rId97" Type="http://schemas.openxmlformats.org/officeDocument/2006/relationships/hyperlink" Target="https://en.wikipedia.org/wiki/Lead_poisoning" TargetMode="External"/><Relationship Id="rId120" Type="http://schemas.openxmlformats.org/officeDocument/2006/relationships/hyperlink" Target="https://www.ncbi.nlm.nih.gov/pmc/articles/PMC4144270/" TargetMode="External"/><Relationship Id="rId358" Type="http://schemas.openxmlformats.org/officeDocument/2006/relationships/hyperlink" Target="https://www.ncbi.nlm.nih.gov/pmc/articles/PMC4144270/" TargetMode="External"/><Relationship Id="rId162" Type="http://schemas.openxmlformats.org/officeDocument/2006/relationships/hyperlink" Target="https://www.ncbi.nlm.nih.gov/pmc/articles/PMC4144270/" TargetMode="External"/><Relationship Id="rId218" Type="http://schemas.openxmlformats.org/officeDocument/2006/relationships/hyperlink" Target="https://www.ncbi.nlm.nih.gov/pmc/articles/PMC4144270/" TargetMode="External"/><Relationship Id="rId425" Type="http://schemas.openxmlformats.org/officeDocument/2006/relationships/hyperlink" Target="http://en.wikipedia.org/wiki/Hermetic_seal" TargetMode="External"/><Relationship Id="rId467" Type="http://schemas.openxmlformats.org/officeDocument/2006/relationships/hyperlink" Target="https://www.ncbi.nlm.nih.gov/pubmed/21423838" TargetMode="External"/><Relationship Id="rId271" Type="http://schemas.openxmlformats.org/officeDocument/2006/relationships/hyperlink" Target="https://www.ncbi.nlm.nih.gov/pmc/articles/PMC4144270/" TargetMode="External"/><Relationship Id="rId24" Type="http://schemas.openxmlformats.org/officeDocument/2006/relationships/image" Target="media/image16.jpeg"/><Relationship Id="rId66" Type="http://schemas.openxmlformats.org/officeDocument/2006/relationships/hyperlink" Target="https://www.ncbi.nlm.nih.gov/pmc/articles/PMC4144270/" TargetMode="External"/><Relationship Id="rId131" Type="http://schemas.openxmlformats.org/officeDocument/2006/relationships/hyperlink" Target="https://www.ncbi.nlm.nih.gov/pmc/articles/PMC4144270/" TargetMode="External"/><Relationship Id="rId327" Type="http://schemas.openxmlformats.org/officeDocument/2006/relationships/hyperlink" Target="https://www.ncbi.nlm.nih.gov/pmc/articles/PMC4144270/" TargetMode="External"/><Relationship Id="rId369" Type="http://schemas.openxmlformats.org/officeDocument/2006/relationships/hyperlink" Target="https://www.ncbi.nlm.nih.gov/pmc/articles/PMC4144270/" TargetMode="External"/><Relationship Id="rId173" Type="http://schemas.openxmlformats.org/officeDocument/2006/relationships/hyperlink" Target="https://www.ncbi.nlm.nih.gov/pmc/articles/PMC4144270/" TargetMode="External"/><Relationship Id="rId229" Type="http://schemas.openxmlformats.org/officeDocument/2006/relationships/hyperlink" Target="https://www.ncbi.nlm.nih.gov/pmc/articles/PMC4144270/" TargetMode="External"/><Relationship Id="rId380" Type="http://schemas.openxmlformats.org/officeDocument/2006/relationships/hyperlink" Target="https://www.ncbi.nlm.nih.gov/pmc/articles/PMC4144270/" TargetMode="External"/><Relationship Id="rId436" Type="http://schemas.openxmlformats.org/officeDocument/2006/relationships/hyperlink" Target="http://en.wikipedia.org/wiki/Air_purifier" TargetMode="External"/><Relationship Id="rId240" Type="http://schemas.openxmlformats.org/officeDocument/2006/relationships/hyperlink" Target="https://www.ncbi.nlm.nih.gov/pmc/articles/PMC4144270/" TargetMode="External"/><Relationship Id="rId478" Type="http://schemas.openxmlformats.org/officeDocument/2006/relationships/hyperlink" Target="https://www.ncbi.nlm.nih.gov/pmc/articles/PMC2769560/" TargetMode="External"/><Relationship Id="rId35" Type="http://schemas.openxmlformats.org/officeDocument/2006/relationships/hyperlink" Target="https://www.ncbi.nlm.nih.gov/pmc/articles/PMC4144270/" TargetMode="External"/><Relationship Id="rId77" Type="http://schemas.openxmlformats.org/officeDocument/2006/relationships/hyperlink" Target="https://www.ncbi.nlm.nih.gov/pmc/articles/PMC4144270/" TargetMode="External"/><Relationship Id="rId100" Type="http://schemas.openxmlformats.org/officeDocument/2006/relationships/hyperlink" Target="https://en.wikipedia.org/wiki/Foot_drop" TargetMode="External"/><Relationship Id="rId282" Type="http://schemas.openxmlformats.org/officeDocument/2006/relationships/hyperlink" Target="https://www.ncbi.nlm.nih.gov/pmc/articles/PMC4144270/" TargetMode="External"/><Relationship Id="rId338" Type="http://schemas.openxmlformats.org/officeDocument/2006/relationships/hyperlink" Target="https://www.ncbi.nlm.nih.gov/pmc/articles/PMC4144270/" TargetMode="External"/><Relationship Id="rId8" Type="http://schemas.openxmlformats.org/officeDocument/2006/relationships/image" Target="media/image1.jpeg"/><Relationship Id="rId142" Type="http://schemas.openxmlformats.org/officeDocument/2006/relationships/hyperlink" Target="https://www.ncbi.nlm.nih.gov/pmc/articles/PMC4144270/" TargetMode="External"/><Relationship Id="rId184" Type="http://schemas.openxmlformats.org/officeDocument/2006/relationships/hyperlink" Target="https://www.ncbi.nlm.nih.gov/pmc/articles/PMC4144270/" TargetMode="External"/><Relationship Id="rId391" Type="http://schemas.openxmlformats.org/officeDocument/2006/relationships/footer" Target="footer1.xml"/><Relationship Id="rId405" Type="http://schemas.openxmlformats.org/officeDocument/2006/relationships/hyperlink" Target="http://en.wikipedia.org/wiki/Spore" TargetMode="External"/><Relationship Id="rId447" Type="http://schemas.openxmlformats.org/officeDocument/2006/relationships/hyperlink" Target="http://en.wikipedia.org/wiki/Air_purifier" TargetMode="External"/><Relationship Id="rId251" Type="http://schemas.openxmlformats.org/officeDocument/2006/relationships/hyperlink" Target="https://www.ncbi.nlm.nih.gov/pmc/articles/PMC4144270/" TargetMode="External"/><Relationship Id="rId489" Type="http://schemas.openxmlformats.org/officeDocument/2006/relationships/hyperlink" Target="https://www.ncbi.nlm.nih.gov/pmc/articles/PMC3807505/" TargetMode="External"/><Relationship Id="rId46" Type="http://schemas.openxmlformats.org/officeDocument/2006/relationships/hyperlink" Target="https://www.ncbi.nlm.nih.gov/pmc/articles/PMC4144270/" TargetMode="External"/><Relationship Id="rId293" Type="http://schemas.openxmlformats.org/officeDocument/2006/relationships/hyperlink" Target="https://www.ncbi.nlm.nih.gov/pmc/articles/PMC4144270/" TargetMode="External"/><Relationship Id="rId307" Type="http://schemas.openxmlformats.org/officeDocument/2006/relationships/hyperlink" Target="https://www.ncbi.nlm.nih.gov/pmc/articles/PMC4144270/" TargetMode="External"/><Relationship Id="rId349" Type="http://schemas.openxmlformats.org/officeDocument/2006/relationships/hyperlink" Target="https://www.ncbi.nlm.nih.gov/pmc/articles/PMC4144270/" TargetMode="External"/><Relationship Id="rId88" Type="http://schemas.openxmlformats.org/officeDocument/2006/relationships/hyperlink" Target="https://en.wikipedia.org/wiki/Fever" TargetMode="External"/><Relationship Id="rId111" Type="http://schemas.openxmlformats.org/officeDocument/2006/relationships/hyperlink" Target="https://en.wikipedia.org/wiki/Diabetes" TargetMode="External"/><Relationship Id="rId153" Type="http://schemas.openxmlformats.org/officeDocument/2006/relationships/hyperlink" Target="https://www.ncbi.nlm.nih.gov/pmc/articles/PMC4144270/" TargetMode="External"/><Relationship Id="rId195" Type="http://schemas.openxmlformats.org/officeDocument/2006/relationships/hyperlink" Target="https://www.ncbi.nlm.nih.gov/pmc/articles/PMC4144270/" TargetMode="External"/><Relationship Id="rId209" Type="http://schemas.openxmlformats.org/officeDocument/2006/relationships/hyperlink" Target="https://www.ncbi.nlm.nih.gov/pmc/articles/PMC4144270/" TargetMode="External"/><Relationship Id="rId360" Type="http://schemas.openxmlformats.org/officeDocument/2006/relationships/hyperlink" Target="https://www.ncbi.nlm.nih.gov/pmc/articles/PMC4144270/" TargetMode="External"/><Relationship Id="rId416" Type="http://schemas.openxmlformats.org/officeDocument/2006/relationships/hyperlink" Target="http://en.wikipedia.org/wiki/Pollution" TargetMode="External"/><Relationship Id="rId220" Type="http://schemas.openxmlformats.org/officeDocument/2006/relationships/hyperlink" Target="https://www.ncbi.nlm.nih.gov/pmc/articles/PMC4144270/" TargetMode="External"/><Relationship Id="rId458" Type="http://schemas.openxmlformats.org/officeDocument/2006/relationships/hyperlink" Target="http://en.wikipedia.org/wiki/Air_purifier" TargetMode="External"/><Relationship Id="rId15" Type="http://schemas.openxmlformats.org/officeDocument/2006/relationships/image" Target="media/image8.jpeg"/><Relationship Id="rId57" Type="http://schemas.openxmlformats.org/officeDocument/2006/relationships/hyperlink" Target="https://www.ncbi.nlm.nih.gov/pmc/articles/PMC4144270/" TargetMode="External"/><Relationship Id="rId262" Type="http://schemas.openxmlformats.org/officeDocument/2006/relationships/hyperlink" Target="https://www.ncbi.nlm.nih.gov/pmc/articles/PMC4144270/" TargetMode="External"/><Relationship Id="rId318" Type="http://schemas.openxmlformats.org/officeDocument/2006/relationships/hyperlink" Target="https://www.ncbi.nlm.nih.gov/pmc/articles/PMC4144270/" TargetMode="External"/><Relationship Id="rId99" Type="http://schemas.openxmlformats.org/officeDocument/2006/relationships/hyperlink" Target="https://en.wikipedia.org/wiki/Anemia" TargetMode="External"/><Relationship Id="rId122" Type="http://schemas.openxmlformats.org/officeDocument/2006/relationships/hyperlink" Target="https://www.ncbi.nlm.nih.gov/pmc/articles/PMC4144270/" TargetMode="External"/><Relationship Id="rId164" Type="http://schemas.openxmlformats.org/officeDocument/2006/relationships/hyperlink" Target="https://www.ncbi.nlm.nih.gov/pmc/articles/PMC4144270/" TargetMode="External"/><Relationship Id="rId371" Type="http://schemas.openxmlformats.org/officeDocument/2006/relationships/hyperlink" Target="https://www.ncbi.nlm.nih.gov/pmc/articles/PMC4144270/" TargetMode="External"/><Relationship Id="rId427" Type="http://schemas.openxmlformats.org/officeDocument/2006/relationships/hyperlink" Target="http://en.wikipedia.org/wiki/Air_pressure" TargetMode="External"/><Relationship Id="rId469" Type="http://schemas.openxmlformats.org/officeDocument/2006/relationships/hyperlink" Target="https://www.ncbi.nlm.nih.gov/pubmed/18496671" TargetMode="External"/><Relationship Id="rId26" Type="http://schemas.openxmlformats.org/officeDocument/2006/relationships/image" Target="media/image18.jpeg"/><Relationship Id="rId231" Type="http://schemas.openxmlformats.org/officeDocument/2006/relationships/hyperlink" Target="https://www.ncbi.nlm.nih.gov/pmc/articles/PMC4144270/" TargetMode="External"/><Relationship Id="rId273" Type="http://schemas.openxmlformats.org/officeDocument/2006/relationships/hyperlink" Target="https://www.ncbi.nlm.nih.gov/pmc/articles/PMC4144270/" TargetMode="External"/><Relationship Id="rId329" Type="http://schemas.openxmlformats.org/officeDocument/2006/relationships/hyperlink" Target="https://www.ncbi.nlm.nih.gov/pmc/articles/PMC4144270/" TargetMode="External"/><Relationship Id="rId480" Type="http://schemas.openxmlformats.org/officeDocument/2006/relationships/hyperlink" Target="https://www.ncbi.nlm.nih.gov/pmc/articles/PMC3728578/" TargetMode="External"/><Relationship Id="rId68" Type="http://schemas.openxmlformats.org/officeDocument/2006/relationships/hyperlink" Target="https://www.ncbi.nlm.nih.gov/pmc/articles/PMC4144270/" TargetMode="External"/><Relationship Id="rId133" Type="http://schemas.openxmlformats.org/officeDocument/2006/relationships/hyperlink" Target="https://www.ncbi.nlm.nih.gov/pmc/articles/PMC4144270/" TargetMode="External"/><Relationship Id="rId175" Type="http://schemas.openxmlformats.org/officeDocument/2006/relationships/hyperlink" Target="https://www.ncbi.nlm.nih.gov/pmc/articles/PMC4144270/" TargetMode="External"/><Relationship Id="rId340" Type="http://schemas.openxmlformats.org/officeDocument/2006/relationships/hyperlink" Target="https://www.ncbi.nlm.nih.gov/pmc/articles/PMC4144270/" TargetMode="External"/><Relationship Id="rId200" Type="http://schemas.openxmlformats.org/officeDocument/2006/relationships/hyperlink" Target="https://www.ncbi.nlm.nih.gov/pmc/articles/PMC4144270/" TargetMode="External"/><Relationship Id="rId382" Type="http://schemas.openxmlformats.org/officeDocument/2006/relationships/hyperlink" Target="https://www.ncbi.nlm.nih.gov/pmc/articles/PMC4144270/" TargetMode="External"/><Relationship Id="rId438" Type="http://schemas.openxmlformats.org/officeDocument/2006/relationships/hyperlink" Target="http://en.wikipedia.org/wiki/Air_purifier" TargetMode="External"/><Relationship Id="rId242" Type="http://schemas.openxmlformats.org/officeDocument/2006/relationships/hyperlink" Target="https://www.ncbi.nlm.nih.gov/pmc/articles/PMC4144270/" TargetMode="External"/><Relationship Id="rId284" Type="http://schemas.openxmlformats.org/officeDocument/2006/relationships/hyperlink" Target="https://www.ncbi.nlm.nih.gov/pmc/articles/PMC4144270/" TargetMode="External"/><Relationship Id="rId491" Type="http://schemas.openxmlformats.org/officeDocument/2006/relationships/hyperlink" Target="https://www.ncbi.nlm.nih.gov/pmc/articles/PMC1470381/" TargetMode="External"/><Relationship Id="rId37" Type="http://schemas.openxmlformats.org/officeDocument/2006/relationships/hyperlink" Target="https://www.ncbi.nlm.nih.gov/pmc/articles/PMC4144270/" TargetMode="External"/><Relationship Id="rId79" Type="http://schemas.openxmlformats.org/officeDocument/2006/relationships/hyperlink" Target="https://www.ncbi.nlm.nih.gov/pmc/articles/PMC4144270/" TargetMode="External"/><Relationship Id="rId102" Type="http://schemas.openxmlformats.org/officeDocument/2006/relationships/hyperlink" Target="https://en.wikipedia.org/wiki/Chromium_toxicity" TargetMode="External"/><Relationship Id="rId144" Type="http://schemas.openxmlformats.org/officeDocument/2006/relationships/hyperlink" Target="https://www.ncbi.nlm.nih.gov/pmc/articles/PMC4144270/" TargetMode="External"/><Relationship Id="rId90" Type="http://schemas.openxmlformats.org/officeDocument/2006/relationships/hyperlink" Target="https://en.wikipedia.org/wiki/Stomatitis" TargetMode="External"/><Relationship Id="rId186" Type="http://schemas.openxmlformats.org/officeDocument/2006/relationships/hyperlink" Target="https://www.ncbi.nlm.nih.gov/pmc/articles/PMC4144270/" TargetMode="External"/><Relationship Id="rId351" Type="http://schemas.openxmlformats.org/officeDocument/2006/relationships/hyperlink" Target="https://www.ncbi.nlm.nih.gov/pmc/articles/PMC4144270/" TargetMode="External"/><Relationship Id="rId393" Type="http://schemas.openxmlformats.org/officeDocument/2006/relationships/image" Target="media/image27.jpeg"/><Relationship Id="rId407" Type="http://schemas.openxmlformats.org/officeDocument/2006/relationships/hyperlink" Target="http://en.wikipedia.org/wiki/Feces" TargetMode="External"/><Relationship Id="rId449" Type="http://schemas.openxmlformats.org/officeDocument/2006/relationships/hyperlink" Target="http://en.wikipedia.org/wiki/Ion" TargetMode="External"/><Relationship Id="rId211" Type="http://schemas.openxmlformats.org/officeDocument/2006/relationships/hyperlink" Target="https://www.ncbi.nlm.nih.gov/pmc/articles/PMC4144270/" TargetMode="External"/><Relationship Id="rId253" Type="http://schemas.openxmlformats.org/officeDocument/2006/relationships/hyperlink" Target="https://www.ncbi.nlm.nih.gov/pmc/articles/PMC4144270/" TargetMode="External"/><Relationship Id="rId295" Type="http://schemas.openxmlformats.org/officeDocument/2006/relationships/hyperlink" Target="https://www.ncbi.nlm.nih.gov/pmc/articles/PMC4144270/" TargetMode="External"/><Relationship Id="rId309" Type="http://schemas.openxmlformats.org/officeDocument/2006/relationships/hyperlink" Target="https://www.ncbi.nlm.nih.gov/pmc/articles/PMC4144270/" TargetMode="External"/><Relationship Id="rId460" Type="http://schemas.openxmlformats.org/officeDocument/2006/relationships/hyperlink" Target="https://www.ncbi.nlm.nih.gov/pubmed/10606690" TargetMode="External"/><Relationship Id="rId48" Type="http://schemas.openxmlformats.org/officeDocument/2006/relationships/hyperlink" Target="https://www.ncbi.nlm.nih.gov/pmc/articles/PMC4144270/" TargetMode="External"/><Relationship Id="rId113" Type="http://schemas.openxmlformats.org/officeDocument/2006/relationships/hyperlink" Target="https://en.wikipedia.org/wiki/Hyperkeratosis" TargetMode="External"/><Relationship Id="rId320" Type="http://schemas.openxmlformats.org/officeDocument/2006/relationships/hyperlink" Target="https://www.ncbi.nlm.nih.gov/pmc/articles/PMC4144270/" TargetMode="External"/><Relationship Id="rId155" Type="http://schemas.openxmlformats.org/officeDocument/2006/relationships/hyperlink" Target="https://www.ncbi.nlm.nih.gov/pmc/articles/PMC4144270/" TargetMode="External"/><Relationship Id="rId197" Type="http://schemas.openxmlformats.org/officeDocument/2006/relationships/hyperlink" Target="https://www.ncbi.nlm.nih.gov/pmc/articles/PMC4144270/" TargetMode="External"/><Relationship Id="rId362" Type="http://schemas.openxmlformats.org/officeDocument/2006/relationships/hyperlink" Target="https://www.ncbi.nlm.nih.gov/pmc/articles/PMC4144270/" TargetMode="External"/><Relationship Id="rId418" Type="http://schemas.openxmlformats.org/officeDocument/2006/relationships/hyperlink" Target="http://en.wikipedia.org/wiki/Convection" TargetMode="External"/><Relationship Id="rId222" Type="http://schemas.openxmlformats.org/officeDocument/2006/relationships/hyperlink" Target="https://www.ncbi.nlm.nih.gov/pmc/articles/PMC4144270/" TargetMode="External"/><Relationship Id="rId264" Type="http://schemas.openxmlformats.org/officeDocument/2006/relationships/hyperlink" Target="https://www.ncbi.nlm.nih.gov/pmc/articles/PMC4144270/" TargetMode="External"/><Relationship Id="rId471" Type="http://schemas.openxmlformats.org/officeDocument/2006/relationships/hyperlink" Target="https://www.ncbi.nlm.nih.gov/pubmed/26435679" TargetMode="External"/><Relationship Id="rId17" Type="http://schemas.openxmlformats.org/officeDocument/2006/relationships/image" Target="media/image10.jpeg"/><Relationship Id="rId59" Type="http://schemas.openxmlformats.org/officeDocument/2006/relationships/hyperlink" Target="https://www.ncbi.nlm.nih.gov/pmc/articles/PMC4144270/" TargetMode="External"/><Relationship Id="rId124" Type="http://schemas.openxmlformats.org/officeDocument/2006/relationships/hyperlink" Target="https://www.ncbi.nlm.nih.gov/pmc/articles/PMC4144270/" TargetMode="External"/><Relationship Id="rId70" Type="http://schemas.openxmlformats.org/officeDocument/2006/relationships/hyperlink" Target="https://www.ncbi.nlm.nih.gov/pmc/articles/PMC4144270/" TargetMode="External"/><Relationship Id="rId166" Type="http://schemas.openxmlformats.org/officeDocument/2006/relationships/hyperlink" Target="https://www.ncbi.nlm.nih.gov/pmc/articles/PMC4144270/" TargetMode="External"/><Relationship Id="rId331" Type="http://schemas.openxmlformats.org/officeDocument/2006/relationships/hyperlink" Target="https://www.ncbi.nlm.nih.gov/pmc/articles/PMC4144270/" TargetMode="External"/><Relationship Id="rId373" Type="http://schemas.openxmlformats.org/officeDocument/2006/relationships/hyperlink" Target="https://www.ncbi.nlm.nih.gov/pmc/articles/PMC4144270/" TargetMode="External"/><Relationship Id="rId429" Type="http://schemas.openxmlformats.org/officeDocument/2006/relationships/hyperlink" Target="http://en.wikipedia.org/wiki/Porosity" TargetMode="External"/><Relationship Id="rId1" Type="http://schemas.openxmlformats.org/officeDocument/2006/relationships/numbering" Target="numbering.xml"/><Relationship Id="rId233" Type="http://schemas.openxmlformats.org/officeDocument/2006/relationships/hyperlink" Target="https://www.ncbi.nlm.nih.gov/pmc/articles/PMC4144270/" TargetMode="External"/><Relationship Id="rId440" Type="http://schemas.openxmlformats.org/officeDocument/2006/relationships/hyperlink" Target="http://en.wikipedia.org/wiki/Sterilization_(microbiology)" TargetMode="External"/><Relationship Id="rId28" Type="http://schemas.openxmlformats.org/officeDocument/2006/relationships/image" Target="media/image20.jpeg"/><Relationship Id="rId275" Type="http://schemas.openxmlformats.org/officeDocument/2006/relationships/hyperlink" Target="https://www.ncbi.nlm.nih.gov/pmc/articles/PMC4144270/" TargetMode="External"/><Relationship Id="rId300" Type="http://schemas.openxmlformats.org/officeDocument/2006/relationships/hyperlink" Target="https://www.ncbi.nlm.nih.gov/pmc/articles/PMC4144270/" TargetMode="External"/><Relationship Id="rId482" Type="http://schemas.openxmlformats.org/officeDocument/2006/relationships/hyperlink" Target="https://www.ncbi.nlm.nih.gov/pubmed/14971657" TargetMode="External"/><Relationship Id="rId81" Type="http://schemas.openxmlformats.org/officeDocument/2006/relationships/hyperlink" Target="https://en.wikipedia.org/wiki/Cadmium_poisoning" TargetMode="External"/><Relationship Id="rId135" Type="http://schemas.openxmlformats.org/officeDocument/2006/relationships/hyperlink" Target="https://www.ncbi.nlm.nih.gov/pmc/articles/PMC4144270/" TargetMode="External"/><Relationship Id="rId177" Type="http://schemas.openxmlformats.org/officeDocument/2006/relationships/hyperlink" Target="https://www.ncbi.nlm.nih.gov/pmc/articles/PMC4144270/" TargetMode="External"/><Relationship Id="rId342" Type="http://schemas.openxmlformats.org/officeDocument/2006/relationships/hyperlink" Target="https://www.ncbi.nlm.nih.gov/pmc/articles/PMC4144270/" TargetMode="External"/><Relationship Id="rId384" Type="http://schemas.openxmlformats.org/officeDocument/2006/relationships/hyperlink" Target="https://www.ncbi.nlm.nih.gov/pmc/articles/PMC4144270/" TargetMode="External"/><Relationship Id="rId202" Type="http://schemas.openxmlformats.org/officeDocument/2006/relationships/hyperlink" Target="https://www.ncbi.nlm.nih.gov/pmc/articles/PMC4144270/" TargetMode="External"/><Relationship Id="rId244" Type="http://schemas.openxmlformats.org/officeDocument/2006/relationships/hyperlink" Target="https://www.ncbi.nlm.nih.gov/pmc/articles/PMC4144270/" TargetMode="External"/><Relationship Id="rId39" Type="http://schemas.openxmlformats.org/officeDocument/2006/relationships/hyperlink" Target="https://www.ncbi.nlm.nih.gov/pmc/articles/PMC4144270/" TargetMode="External"/><Relationship Id="rId286" Type="http://schemas.openxmlformats.org/officeDocument/2006/relationships/hyperlink" Target="https://www.ncbi.nlm.nih.gov/pmc/articles/PMC4144270/" TargetMode="External"/><Relationship Id="rId451" Type="http://schemas.openxmlformats.org/officeDocument/2006/relationships/hyperlink" Target="http://en.wikipedia.org/wiki/Ozone" TargetMode="External"/><Relationship Id="rId493" Type="http://schemas.openxmlformats.org/officeDocument/2006/relationships/header" Target="header6.xml"/><Relationship Id="rId50" Type="http://schemas.openxmlformats.org/officeDocument/2006/relationships/hyperlink" Target="https://www.ncbi.nlm.nih.gov/pmc/articles/PMC4144270/" TargetMode="External"/><Relationship Id="rId104" Type="http://schemas.openxmlformats.org/officeDocument/2006/relationships/hyperlink" Target="https://en.wikipedia.org/wiki/Hemolysis" TargetMode="External"/><Relationship Id="rId146" Type="http://schemas.openxmlformats.org/officeDocument/2006/relationships/hyperlink" Target="https://www.ncbi.nlm.nih.gov/pmc/articles/PMC4144270/" TargetMode="External"/><Relationship Id="rId188" Type="http://schemas.openxmlformats.org/officeDocument/2006/relationships/hyperlink" Target="https://www.ncbi.nlm.nih.gov/pmc/articles/PMC4144270/" TargetMode="External"/><Relationship Id="rId311" Type="http://schemas.openxmlformats.org/officeDocument/2006/relationships/hyperlink" Target="https://www.ncbi.nlm.nih.gov/pmc/articles/PMC4144270/" TargetMode="External"/><Relationship Id="rId353" Type="http://schemas.openxmlformats.org/officeDocument/2006/relationships/hyperlink" Target="https://www.ncbi.nlm.nih.gov/pmc/articles/PMC4144270/" TargetMode="External"/><Relationship Id="rId395" Type="http://schemas.openxmlformats.org/officeDocument/2006/relationships/header" Target="header2.xml"/><Relationship Id="rId409" Type="http://schemas.openxmlformats.org/officeDocument/2006/relationships/hyperlink" Target="http://en.wikipedia.org/wiki/Allergies" TargetMode="External"/><Relationship Id="rId92" Type="http://schemas.openxmlformats.org/officeDocument/2006/relationships/hyperlink" Target="https://en.wikipedia.org/wiki/Nephrotic_syndrome" TargetMode="External"/><Relationship Id="rId213" Type="http://schemas.openxmlformats.org/officeDocument/2006/relationships/hyperlink" Target="https://www.ncbi.nlm.nih.gov/pmc/articles/PMC4144270/" TargetMode="External"/><Relationship Id="rId420" Type="http://schemas.openxmlformats.org/officeDocument/2006/relationships/hyperlink" Target="http://en.wikipedia.org/wiki/Ultraviolet_germicidal_irradiation" TargetMode="External"/><Relationship Id="rId255" Type="http://schemas.openxmlformats.org/officeDocument/2006/relationships/hyperlink" Target="https://www.ncbi.nlm.nih.gov/pmc/articles/PMC4144270/" TargetMode="External"/><Relationship Id="rId297" Type="http://schemas.openxmlformats.org/officeDocument/2006/relationships/hyperlink" Target="https://www.ncbi.nlm.nih.gov/pmc/articles/PMC4144270/" TargetMode="External"/><Relationship Id="rId462" Type="http://schemas.openxmlformats.org/officeDocument/2006/relationships/hyperlink" Target="https://www.ncbi.nlm.nih.gov/pubmed/20517581" TargetMode="External"/><Relationship Id="rId115" Type="http://schemas.openxmlformats.org/officeDocument/2006/relationships/image" Target="media/image24.jpeg"/><Relationship Id="rId157" Type="http://schemas.openxmlformats.org/officeDocument/2006/relationships/hyperlink" Target="https://www.ncbi.nlm.nih.gov/pmc/articles/PMC4144270/" TargetMode="External"/><Relationship Id="rId322" Type="http://schemas.openxmlformats.org/officeDocument/2006/relationships/hyperlink" Target="https://www.ncbi.nlm.nih.gov/pmc/articles/PMC4144270/" TargetMode="External"/><Relationship Id="rId364" Type="http://schemas.openxmlformats.org/officeDocument/2006/relationships/hyperlink" Target="https://www.ncbi.nlm.nih.gov/pmc/articles/PMC4144270/" TargetMode="External"/><Relationship Id="rId61" Type="http://schemas.openxmlformats.org/officeDocument/2006/relationships/hyperlink" Target="https://www.ncbi.nlm.nih.gov/pmc/articles/PMC4144270/" TargetMode="External"/><Relationship Id="rId199" Type="http://schemas.openxmlformats.org/officeDocument/2006/relationships/hyperlink" Target="https://www.ncbi.nlm.nih.gov/pmc/articles/PMC4144270/" TargetMode="External"/><Relationship Id="rId19" Type="http://schemas.openxmlformats.org/officeDocument/2006/relationships/image" Target="media/image12.jpeg"/><Relationship Id="rId224" Type="http://schemas.openxmlformats.org/officeDocument/2006/relationships/hyperlink" Target="https://www.ncbi.nlm.nih.gov/pmc/articles/PMC4144270/" TargetMode="External"/><Relationship Id="rId266" Type="http://schemas.openxmlformats.org/officeDocument/2006/relationships/hyperlink" Target="https://www.ncbi.nlm.nih.gov/pmc/articles/PMC4144270/" TargetMode="External"/><Relationship Id="rId431" Type="http://schemas.openxmlformats.org/officeDocument/2006/relationships/hyperlink" Target="http://en.wikipedia.org/wiki/Air_purifier" TargetMode="External"/><Relationship Id="rId473" Type="http://schemas.openxmlformats.org/officeDocument/2006/relationships/hyperlink" Target="https://www.ncbi.nlm.nih.gov/pubmed/17216127" TargetMode="External"/><Relationship Id="rId30" Type="http://schemas.openxmlformats.org/officeDocument/2006/relationships/image" Target="media/image22.jpeg"/><Relationship Id="rId126" Type="http://schemas.openxmlformats.org/officeDocument/2006/relationships/hyperlink" Target="https://www.ncbi.nlm.nih.gov/pmc/articles/PMC4144270/" TargetMode="External"/><Relationship Id="rId168" Type="http://schemas.openxmlformats.org/officeDocument/2006/relationships/hyperlink" Target="https://www.ncbi.nlm.nih.gov/pmc/articles/PMC4144270/" TargetMode="External"/><Relationship Id="rId333" Type="http://schemas.openxmlformats.org/officeDocument/2006/relationships/hyperlink" Target="https://www.ncbi.nlm.nih.gov/pmc/articles/PMC4144270/" TargetMode="External"/><Relationship Id="rId72" Type="http://schemas.openxmlformats.org/officeDocument/2006/relationships/hyperlink" Target="https://www.ncbi.nlm.nih.gov/pmc/articles/PMC4144270/" TargetMode="External"/><Relationship Id="rId375" Type="http://schemas.openxmlformats.org/officeDocument/2006/relationships/hyperlink" Target="https://www.ncbi.nlm.nih.gov/pmc/articles/PMC4144270/" TargetMode="External"/><Relationship Id="rId3" Type="http://schemas.microsoft.com/office/2007/relationships/stylesWithEffects" Target="stylesWithEffects.xml"/><Relationship Id="rId235" Type="http://schemas.openxmlformats.org/officeDocument/2006/relationships/hyperlink" Target="https://www.ncbi.nlm.nih.gov/pmc/articles/PMC4144270/" TargetMode="External"/><Relationship Id="rId277" Type="http://schemas.openxmlformats.org/officeDocument/2006/relationships/hyperlink" Target="https://www.ncbi.nlm.nih.gov/pmc/articles/PMC4144270/" TargetMode="External"/><Relationship Id="rId400" Type="http://schemas.openxmlformats.org/officeDocument/2006/relationships/header" Target="header5.xml"/><Relationship Id="rId442" Type="http://schemas.openxmlformats.org/officeDocument/2006/relationships/hyperlink" Target="http://en.wikipedia.org/wiki/Bacteria" TargetMode="External"/><Relationship Id="rId484" Type="http://schemas.openxmlformats.org/officeDocument/2006/relationships/hyperlink" Target="https://www.ncbi.nlm.nih.gov/pubmed/17617677" TargetMode="External"/><Relationship Id="rId137" Type="http://schemas.openxmlformats.org/officeDocument/2006/relationships/hyperlink" Target="https://www.ncbi.nlm.nih.gov/pmc/articles/PMC4144270/" TargetMode="External"/><Relationship Id="rId302" Type="http://schemas.openxmlformats.org/officeDocument/2006/relationships/hyperlink" Target="https://www.ncbi.nlm.nih.gov/pmc/articles/PMC4144270/" TargetMode="External"/><Relationship Id="rId344" Type="http://schemas.openxmlformats.org/officeDocument/2006/relationships/hyperlink" Target="https://www.ncbi.nlm.nih.gov/pmc/articles/PMC4144270/" TargetMode="External"/><Relationship Id="rId41" Type="http://schemas.openxmlformats.org/officeDocument/2006/relationships/hyperlink" Target="https://www.ncbi.nlm.nih.gov/pmc/articles/PMC4144270/" TargetMode="External"/><Relationship Id="rId83" Type="http://schemas.openxmlformats.org/officeDocument/2006/relationships/hyperlink" Target="https://en.wikipedia.org/wiki/Lung_cancer" TargetMode="External"/><Relationship Id="rId179" Type="http://schemas.openxmlformats.org/officeDocument/2006/relationships/hyperlink" Target="https://www.ncbi.nlm.nih.gov/pmc/articles/PMC4144270/" TargetMode="External"/><Relationship Id="rId386" Type="http://schemas.openxmlformats.org/officeDocument/2006/relationships/hyperlink" Target="https://www.ncbi.nlm.nih.gov/pmc/articles/PMC4144270/" TargetMode="External"/><Relationship Id="rId190" Type="http://schemas.openxmlformats.org/officeDocument/2006/relationships/hyperlink" Target="https://www.ncbi.nlm.nih.gov/pmc/articles/PMC4144270/" TargetMode="External"/><Relationship Id="rId204" Type="http://schemas.openxmlformats.org/officeDocument/2006/relationships/hyperlink" Target="https://www.ncbi.nlm.nih.gov/pmc/articles/PMC4144270/" TargetMode="External"/><Relationship Id="rId246" Type="http://schemas.openxmlformats.org/officeDocument/2006/relationships/hyperlink" Target="https://www.ncbi.nlm.nih.gov/pmc/articles/PMC4144270/" TargetMode="External"/><Relationship Id="rId288" Type="http://schemas.openxmlformats.org/officeDocument/2006/relationships/hyperlink" Target="https://www.ncbi.nlm.nih.gov/pmc/articles/PMC4144270/" TargetMode="External"/><Relationship Id="rId411" Type="http://schemas.openxmlformats.org/officeDocument/2006/relationships/hyperlink" Target="http://en.wikipedia.org/wiki/Volatile_organic_compound" TargetMode="External"/><Relationship Id="rId453" Type="http://schemas.openxmlformats.org/officeDocument/2006/relationships/hyperlink" Target="http://en.wikipedia.org/wiki/Parts_per_million"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4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1507537688442281E-2"/>
          <c:y val="7.5812274368232485E-2"/>
          <c:w val="0.62185929648242733"/>
          <c:h val="0.76895306859205781"/>
        </c:manualLayout>
      </c:layout>
      <c:bar3DChart>
        <c:barDir val="col"/>
        <c:grouping val="clustered"/>
        <c:varyColors val="0"/>
        <c:ser>
          <c:idx val="0"/>
          <c:order val="0"/>
          <c:tx>
            <c:strRef>
              <c:f>Sheet1!$A$2</c:f>
              <c:strCache>
                <c:ptCount val="1"/>
                <c:pt idx="0">
                  <c:v>conditional tensile strength, кгс2/см</c:v>
                </c:pt>
              </c:strCache>
            </c:strRef>
          </c:tx>
          <c:spPr>
            <a:solidFill>
              <a:srgbClr val="9999FF"/>
            </a:solidFill>
            <a:ln w="12673">
              <a:solidFill>
                <a:srgbClr val="000000"/>
              </a:solidFill>
              <a:prstDash val="solid"/>
            </a:ln>
          </c:spPr>
          <c:invertIfNegative val="0"/>
          <c:cat>
            <c:strRef>
              <c:f>Sheet1!$B$1:$G$1</c:f>
              <c:strCache>
                <c:ptCount val="6"/>
                <c:pt idx="0">
                  <c:v>Standard</c:v>
                </c:pt>
                <c:pt idx="1">
                  <c:v>5</c:v>
                </c:pt>
                <c:pt idx="2">
                  <c:v>7</c:v>
                </c:pt>
                <c:pt idx="3">
                  <c:v>10</c:v>
                </c:pt>
                <c:pt idx="4">
                  <c:v>15</c:v>
                </c:pt>
                <c:pt idx="5">
                  <c:v>20</c:v>
                </c:pt>
              </c:strCache>
            </c:strRef>
          </c:cat>
          <c:val>
            <c:numRef>
              <c:f>Sheet1!$B$2:$G$2</c:f>
              <c:numCache>
                <c:formatCode>General</c:formatCode>
                <c:ptCount val="6"/>
                <c:pt idx="0">
                  <c:v>190</c:v>
                </c:pt>
                <c:pt idx="1">
                  <c:v>185</c:v>
                </c:pt>
                <c:pt idx="2">
                  <c:v>187</c:v>
                </c:pt>
                <c:pt idx="3">
                  <c:v>192</c:v>
                </c:pt>
                <c:pt idx="4">
                  <c:v>190</c:v>
                </c:pt>
                <c:pt idx="5">
                  <c:v>185</c:v>
                </c:pt>
              </c:numCache>
            </c:numRef>
          </c:val>
        </c:ser>
        <c:ser>
          <c:idx val="1"/>
          <c:order val="1"/>
          <c:tx>
            <c:strRef>
              <c:f>Sheet1!$A$3</c:f>
              <c:strCache>
                <c:ptCount val="1"/>
                <c:pt idx="0">
                  <c:v>conditional stress at elongation 300%</c:v>
                </c:pt>
              </c:strCache>
            </c:strRef>
          </c:tx>
          <c:spPr>
            <a:solidFill>
              <a:srgbClr val="993366"/>
            </a:solidFill>
            <a:ln w="12673">
              <a:solidFill>
                <a:srgbClr val="000000"/>
              </a:solidFill>
              <a:prstDash val="solid"/>
            </a:ln>
          </c:spPr>
          <c:invertIfNegative val="0"/>
          <c:cat>
            <c:strRef>
              <c:f>Sheet1!$B$1:$G$1</c:f>
              <c:strCache>
                <c:ptCount val="6"/>
                <c:pt idx="0">
                  <c:v>Standard</c:v>
                </c:pt>
                <c:pt idx="1">
                  <c:v>5</c:v>
                </c:pt>
                <c:pt idx="2">
                  <c:v>7</c:v>
                </c:pt>
                <c:pt idx="3">
                  <c:v>10</c:v>
                </c:pt>
                <c:pt idx="4">
                  <c:v>15</c:v>
                </c:pt>
                <c:pt idx="5">
                  <c:v>20</c:v>
                </c:pt>
              </c:strCache>
            </c:strRef>
          </c:cat>
          <c:val>
            <c:numRef>
              <c:f>Sheet1!$B$3:$G$3</c:f>
              <c:numCache>
                <c:formatCode>General</c:formatCode>
                <c:ptCount val="6"/>
                <c:pt idx="0">
                  <c:v>120</c:v>
                </c:pt>
                <c:pt idx="1">
                  <c:v>110</c:v>
                </c:pt>
                <c:pt idx="2">
                  <c:v>115</c:v>
                </c:pt>
                <c:pt idx="3">
                  <c:v>122</c:v>
                </c:pt>
                <c:pt idx="4">
                  <c:v>120</c:v>
                </c:pt>
                <c:pt idx="5">
                  <c:v>118</c:v>
                </c:pt>
              </c:numCache>
            </c:numRef>
          </c:val>
        </c:ser>
        <c:ser>
          <c:idx val="2"/>
          <c:order val="2"/>
          <c:tx>
            <c:strRef>
              <c:f>Sheet1!$A$4</c:f>
              <c:strCache>
                <c:ptCount val="1"/>
                <c:pt idx="0">
                  <c:v>elongation at break,%</c:v>
                </c:pt>
              </c:strCache>
            </c:strRef>
          </c:tx>
          <c:spPr>
            <a:solidFill>
              <a:srgbClr val="FFFFCC"/>
            </a:solidFill>
            <a:ln w="12673">
              <a:solidFill>
                <a:srgbClr val="000000"/>
              </a:solidFill>
              <a:prstDash val="solid"/>
            </a:ln>
          </c:spPr>
          <c:invertIfNegative val="0"/>
          <c:cat>
            <c:strRef>
              <c:f>Sheet1!$B$1:$G$1</c:f>
              <c:strCache>
                <c:ptCount val="6"/>
                <c:pt idx="0">
                  <c:v>Standard</c:v>
                </c:pt>
                <c:pt idx="1">
                  <c:v>5</c:v>
                </c:pt>
                <c:pt idx="2">
                  <c:v>7</c:v>
                </c:pt>
                <c:pt idx="3">
                  <c:v>10</c:v>
                </c:pt>
                <c:pt idx="4">
                  <c:v>15</c:v>
                </c:pt>
                <c:pt idx="5">
                  <c:v>20</c:v>
                </c:pt>
              </c:strCache>
            </c:strRef>
          </c:cat>
          <c:val>
            <c:numRef>
              <c:f>Sheet1!$B$4:$G$4</c:f>
              <c:numCache>
                <c:formatCode>General</c:formatCode>
                <c:ptCount val="6"/>
                <c:pt idx="0">
                  <c:v>410</c:v>
                </c:pt>
                <c:pt idx="1">
                  <c:v>400</c:v>
                </c:pt>
                <c:pt idx="2">
                  <c:v>390</c:v>
                </c:pt>
                <c:pt idx="3">
                  <c:v>405</c:v>
                </c:pt>
                <c:pt idx="4">
                  <c:v>415</c:v>
                </c:pt>
                <c:pt idx="5">
                  <c:v>420</c:v>
                </c:pt>
              </c:numCache>
            </c:numRef>
          </c:val>
        </c:ser>
        <c:ser>
          <c:idx val="3"/>
          <c:order val="3"/>
          <c:tx>
            <c:strRef>
              <c:f>Sheet1!$A$5</c:f>
              <c:strCache>
                <c:ptCount val="1"/>
                <c:pt idx="0">
                  <c:v>Shore hardness А, усл.ед.</c:v>
                </c:pt>
              </c:strCache>
            </c:strRef>
          </c:tx>
          <c:spPr>
            <a:solidFill>
              <a:srgbClr val="CCFFFF"/>
            </a:solidFill>
            <a:ln w="12673">
              <a:solidFill>
                <a:srgbClr val="000000"/>
              </a:solidFill>
              <a:prstDash val="solid"/>
            </a:ln>
          </c:spPr>
          <c:invertIfNegative val="0"/>
          <c:cat>
            <c:strRef>
              <c:f>Sheet1!$B$1:$G$1</c:f>
              <c:strCache>
                <c:ptCount val="6"/>
                <c:pt idx="0">
                  <c:v>Standard</c:v>
                </c:pt>
                <c:pt idx="1">
                  <c:v>5</c:v>
                </c:pt>
                <c:pt idx="2">
                  <c:v>7</c:v>
                </c:pt>
                <c:pt idx="3">
                  <c:v>10</c:v>
                </c:pt>
                <c:pt idx="4">
                  <c:v>15</c:v>
                </c:pt>
                <c:pt idx="5">
                  <c:v>20</c:v>
                </c:pt>
              </c:strCache>
            </c:strRef>
          </c:cat>
          <c:val>
            <c:numRef>
              <c:f>Sheet1!$B$5:$G$5</c:f>
              <c:numCache>
                <c:formatCode>General</c:formatCode>
                <c:ptCount val="6"/>
                <c:pt idx="0">
                  <c:v>77</c:v>
                </c:pt>
                <c:pt idx="1">
                  <c:v>78</c:v>
                </c:pt>
                <c:pt idx="2">
                  <c:v>79</c:v>
                </c:pt>
                <c:pt idx="3">
                  <c:v>80</c:v>
                </c:pt>
                <c:pt idx="4">
                  <c:v>79</c:v>
                </c:pt>
                <c:pt idx="5">
                  <c:v>77</c:v>
                </c:pt>
              </c:numCache>
            </c:numRef>
          </c:val>
        </c:ser>
        <c:dLbls>
          <c:showLegendKey val="0"/>
          <c:showVal val="0"/>
          <c:showCatName val="0"/>
          <c:showSerName val="0"/>
          <c:showPercent val="0"/>
          <c:showBubbleSize val="0"/>
        </c:dLbls>
        <c:gapWidth val="150"/>
        <c:gapDepth val="0"/>
        <c:shape val="box"/>
        <c:axId val="471704064"/>
        <c:axId val="426035456"/>
        <c:axId val="0"/>
      </c:bar3DChart>
      <c:catAx>
        <c:axId val="471704064"/>
        <c:scaling>
          <c:orientation val="minMax"/>
        </c:scaling>
        <c:delete val="0"/>
        <c:axPos val="b"/>
        <c:numFmt formatCode="General" sourceLinked="1"/>
        <c:majorTickMark val="out"/>
        <c:minorTickMark val="none"/>
        <c:tickLblPos val="low"/>
        <c:spPr>
          <a:ln w="3168">
            <a:solidFill>
              <a:srgbClr val="000000"/>
            </a:solidFill>
            <a:prstDash val="solid"/>
          </a:ln>
        </c:spPr>
        <c:txPr>
          <a:bodyPr rot="0" vert="horz"/>
          <a:lstStyle/>
          <a:p>
            <a:pPr>
              <a:defRPr sz="974" b="1" i="0" u="none" strike="noStrike" baseline="0">
                <a:solidFill>
                  <a:srgbClr val="000000"/>
                </a:solidFill>
                <a:latin typeface="Calibri"/>
                <a:ea typeface="Calibri"/>
                <a:cs typeface="Calibri"/>
              </a:defRPr>
            </a:pPr>
            <a:endParaRPr lang="ru-RU"/>
          </a:p>
        </c:txPr>
        <c:crossAx val="426035456"/>
        <c:crosses val="autoZero"/>
        <c:auto val="1"/>
        <c:lblAlgn val="ctr"/>
        <c:lblOffset val="100"/>
        <c:tickLblSkip val="1"/>
        <c:tickMarkSkip val="1"/>
        <c:noMultiLvlLbl val="0"/>
      </c:catAx>
      <c:valAx>
        <c:axId val="426035456"/>
        <c:scaling>
          <c:orientation val="minMax"/>
        </c:scaling>
        <c:delete val="0"/>
        <c:axPos val="l"/>
        <c:majorGridlines>
          <c:spPr>
            <a:ln w="3168">
              <a:solidFill>
                <a:srgbClr val="000000"/>
              </a:solidFill>
              <a:prstDash val="solid"/>
            </a:ln>
          </c:spPr>
        </c:majorGridlines>
        <c:numFmt formatCode="General" sourceLinked="1"/>
        <c:majorTickMark val="out"/>
        <c:minorTickMark val="none"/>
        <c:tickLblPos val="nextTo"/>
        <c:spPr>
          <a:ln w="3168">
            <a:solidFill>
              <a:srgbClr val="000000"/>
            </a:solidFill>
            <a:prstDash val="solid"/>
          </a:ln>
        </c:spPr>
        <c:txPr>
          <a:bodyPr rot="0" vert="horz"/>
          <a:lstStyle/>
          <a:p>
            <a:pPr>
              <a:defRPr sz="974" b="1" i="0" u="none" strike="noStrike" baseline="0">
                <a:solidFill>
                  <a:srgbClr val="000000"/>
                </a:solidFill>
                <a:latin typeface="Calibri"/>
                <a:ea typeface="Calibri"/>
                <a:cs typeface="Calibri"/>
              </a:defRPr>
            </a:pPr>
            <a:endParaRPr lang="ru-RU"/>
          </a:p>
        </c:txPr>
        <c:crossAx val="471704064"/>
        <c:crosses val="autoZero"/>
        <c:crossBetween val="between"/>
      </c:valAx>
      <c:spPr>
        <a:noFill/>
        <a:ln w="25364">
          <a:noFill/>
        </a:ln>
      </c:spPr>
    </c:plotArea>
    <c:legend>
      <c:legendPos val="r"/>
      <c:layout>
        <c:manualLayout>
          <c:xMode val="edge"/>
          <c:yMode val="edge"/>
          <c:x val="0.68969855293909865"/>
          <c:y val="0.18772544056992876"/>
          <c:w val="0.30527637097006066"/>
          <c:h val="0.62454865016872896"/>
        </c:manualLayout>
      </c:layout>
      <c:overlay val="0"/>
      <c:spPr>
        <a:noFill/>
        <a:ln w="3168">
          <a:solidFill>
            <a:srgbClr val="000000"/>
          </a:solidFill>
          <a:prstDash val="solid"/>
        </a:ln>
      </c:spPr>
      <c:txPr>
        <a:bodyPr/>
        <a:lstStyle/>
        <a:p>
          <a:pPr>
            <a:defRPr sz="89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974" b="1"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16</TotalTime>
  <Pages>124</Pages>
  <Words>54030</Words>
  <Characters>307974</Characters>
  <Application>Microsoft Office Word</Application>
  <DocSecurity>0</DocSecurity>
  <Lines>2566</Lines>
  <Paragraphs>722</Paragraphs>
  <ScaleCrop>false</ScaleCrop>
  <HeadingPairs>
    <vt:vector size="2" baseType="variant">
      <vt:variant>
        <vt:lpstr>Название</vt:lpstr>
      </vt:variant>
      <vt:variant>
        <vt:i4>1</vt:i4>
      </vt:variant>
    </vt:vector>
  </HeadingPairs>
  <TitlesOfParts>
    <vt:vector size="1" baseType="lpstr">
      <vt:lpstr>Ф</vt:lpstr>
    </vt:vector>
  </TitlesOfParts>
  <Company>RePack by SPecialiST</Company>
  <LinksUpToDate>false</LinksUpToDate>
  <CharactersWithSpaces>361282</CharactersWithSpaces>
  <SharedDoc>false</SharedDoc>
  <HLinks>
    <vt:vector size="2784" baseType="variant">
      <vt:variant>
        <vt:i4>3539054</vt:i4>
      </vt:variant>
      <vt:variant>
        <vt:i4>1392</vt:i4>
      </vt:variant>
      <vt:variant>
        <vt:i4>0</vt:i4>
      </vt:variant>
      <vt:variant>
        <vt:i4>5</vt:i4>
      </vt:variant>
      <vt:variant>
        <vt:lpwstr>https://www.ncbi.nlm.nih.gov/pubmed/9349827</vt:lpwstr>
      </vt:variant>
      <vt:variant>
        <vt:lpwstr/>
      </vt:variant>
      <vt:variant>
        <vt:i4>1048654</vt:i4>
      </vt:variant>
      <vt:variant>
        <vt:i4>1389</vt:i4>
      </vt:variant>
      <vt:variant>
        <vt:i4>0</vt:i4>
      </vt:variant>
      <vt:variant>
        <vt:i4>5</vt:i4>
      </vt:variant>
      <vt:variant>
        <vt:lpwstr>https://www.ncbi.nlm.nih.gov/pmc/articles/PMC1470381/</vt:lpwstr>
      </vt:variant>
      <vt:variant>
        <vt:lpwstr/>
      </vt:variant>
      <vt:variant>
        <vt:i4>852057</vt:i4>
      </vt:variant>
      <vt:variant>
        <vt:i4>1386</vt:i4>
      </vt:variant>
      <vt:variant>
        <vt:i4>0</vt:i4>
      </vt:variant>
      <vt:variant>
        <vt:i4>5</vt:i4>
      </vt:variant>
      <vt:variant>
        <vt:lpwstr>https://www.ncbi.nlm.nih.gov/pubmed/16823087</vt:lpwstr>
      </vt:variant>
      <vt:variant>
        <vt:lpwstr/>
      </vt:variant>
      <vt:variant>
        <vt:i4>1507405</vt:i4>
      </vt:variant>
      <vt:variant>
        <vt:i4>1383</vt:i4>
      </vt:variant>
      <vt:variant>
        <vt:i4>0</vt:i4>
      </vt:variant>
      <vt:variant>
        <vt:i4>5</vt:i4>
      </vt:variant>
      <vt:variant>
        <vt:lpwstr>https://www.ncbi.nlm.nih.gov/pmc/articles/PMC3807505/</vt:lpwstr>
      </vt:variant>
      <vt:variant>
        <vt:lpwstr/>
      </vt:variant>
      <vt:variant>
        <vt:i4>196696</vt:i4>
      </vt:variant>
      <vt:variant>
        <vt:i4>1380</vt:i4>
      </vt:variant>
      <vt:variant>
        <vt:i4>0</vt:i4>
      </vt:variant>
      <vt:variant>
        <vt:i4>5</vt:i4>
      </vt:variant>
      <vt:variant>
        <vt:lpwstr>https://www.ncbi.nlm.nih.gov/pubmed/14585726</vt:lpwstr>
      </vt:variant>
      <vt:variant>
        <vt:lpwstr/>
      </vt:variant>
      <vt:variant>
        <vt:i4>917593</vt:i4>
      </vt:variant>
      <vt:variant>
        <vt:i4>1377</vt:i4>
      </vt:variant>
      <vt:variant>
        <vt:i4>0</vt:i4>
      </vt:variant>
      <vt:variant>
        <vt:i4>5</vt:i4>
      </vt:variant>
      <vt:variant>
        <vt:lpwstr>https://www.ncbi.nlm.nih.gov/pubmed/25057575</vt:lpwstr>
      </vt:variant>
      <vt:variant>
        <vt:lpwstr/>
      </vt:variant>
      <vt:variant>
        <vt:i4>5439558</vt:i4>
      </vt:variant>
      <vt:variant>
        <vt:i4>1374</vt:i4>
      </vt:variant>
      <vt:variant>
        <vt:i4>0</vt:i4>
      </vt:variant>
      <vt:variant>
        <vt:i4>5</vt:i4>
      </vt:variant>
      <vt:variant>
        <vt:lpwstr>http://www.nap.edu/books/0309076293/html/</vt:lpwstr>
      </vt:variant>
      <vt:variant>
        <vt:lpwstr/>
      </vt:variant>
      <vt:variant>
        <vt:i4>65628</vt:i4>
      </vt:variant>
      <vt:variant>
        <vt:i4>1371</vt:i4>
      </vt:variant>
      <vt:variant>
        <vt:i4>0</vt:i4>
      </vt:variant>
      <vt:variant>
        <vt:i4>5</vt:i4>
      </vt:variant>
      <vt:variant>
        <vt:lpwstr>https://www.ncbi.nlm.nih.gov/pubmed/10070961</vt:lpwstr>
      </vt:variant>
      <vt:variant>
        <vt:lpwstr/>
      </vt:variant>
      <vt:variant>
        <vt:i4>589912</vt:i4>
      </vt:variant>
      <vt:variant>
        <vt:i4>1368</vt:i4>
      </vt:variant>
      <vt:variant>
        <vt:i4>0</vt:i4>
      </vt:variant>
      <vt:variant>
        <vt:i4>5</vt:i4>
      </vt:variant>
      <vt:variant>
        <vt:lpwstr>https://www.ncbi.nlm.nih.gov/pubmed/10746734</vt:lpwstr>
      </vt:variant>
      <vt:variant>
        <vt:lpwstr/>
      </vt:variant>
      <vt:variant>
        <vt:i4>589916</vt:i4>
      </vt:variant>
      <vt:variant>
        <vt:i4>1365</vt:i4>
      </vt:variant>
      <vt:variant>
        <vt:i4>0</vt:i4>
      </vt:variant>
      <vt:variant>
        <vt:i4>5</vt:i4>
      </vt:variant>
      <vt:variant>
        <vt:lpwstr>https://www.ncbi.nlm.nih.gov/pubmed/17617677</vt:lpwstr>
      </vt:variant>
      <vt:variant>
        <vt:lpwstr/>
      </vt:variant>
      <vt:variant>
        <vt:i4>1638474</vt:i4>
      </vt:variant>
      <vt:variant>
        <vt:i4>1362</vt:i4>
      </vt:variant>
      <vt:variant>
        <vt:i4>0</vt:i4>
      </vt:variant>
      <vt:variant>
        <vt:i4>5</vt:i4>
      </vt:variant>
      <vt:variant>
        <vt:lpwstr>https://www.ncbi.nlm.nih.gov/pmc/articles/PMC3728579/</vt:lpwstr>
      </vt:variant>
      <vt:variant>
        <vt:lpwstr/>
      </vt:variant>
      <vt:variant>
        <vt:i4>786519</vt:i4>
      </vt:variant>
      <vt:variant>
        <vt:i4>1359</vt:i4>
      </vt:variant>
      <vt:variant>
        <vt:i4>0</vt:i4>
      </vt:variant>
      <vt:variant>
        <vt:i4>5</vt:i4>
      </vt:variant>
      <vt:variant>
        <vt:lpwstr>https://www.ncbi.nlm.nih.gov/pubmed/14971657</vt:lpwstr>
      </vt:variant>
      <vt:variant>
        <vt:lpwstr/>
      </vt:variant>
      <vt:variant>
        <vt:i4>524380</vt:i4>
      </vt:variant>
      <vt:variant>
        <vt:i4>1356</vt:i4>
      </vt:variant>
      <vt:variant>
        <vt:i4>0</vt:i4>
      </vt:variant>
      <vt:variant>
        <vt:i4>5</vt:i4>
      </vt:variant>
      <vt:variant>
        <vt:lpwstr>https://www.ncbi.nlm.nih.gov/pubmed/17617676</vt:lpwstr>
      </vt:variant>
      <vt:variant>
        <vt:lpwstr/>
      </vt:variant>
      <vt:variant>
        <vt:i4>1572938</vt:i4>
      </vt:variant>
      <vt:variant>
        <vt:i4>1353</vt:i4>
      </vt:variant>
      <vt:variant>
        <vt:i4>0</vt:i4>
      </vt:variant>
      <vt:variant>
        <vt:i4>5</vt:i4>
      </vt:variant>
      <vt:variant>
        <vt:lpwstr>https://www.ncbi.nlm.nih.gov/pmc/articles/PMC3728578/</vt:lpwstr>
      </vt:variant>
      <vt:variant>
        <vt:lpwstr/>
      </vt:variant>
      <vt:variant>
        <vt:i4>262225</vt:i4>
      </vt:variant>
      <vt:variant>
        <vt:i4>1350</vt:i4>
      </vt:variant>
      <vt:variant>
        <vt:i4>0</vt:i4>
      </vt:variant>
      <vt:variant>
        <vt:i4>5</vt:i4>
      </vt:variant>
      <vt:variant>
        <vt:lpwstr>https://www.ncbi.nlm.nih.gov/pubmed/18508361</vt:lpwstr>
      </vt:variant>
      <vt:variant>
        <vt:lpwstr/>
      </vt:variant>
      <vt:variant>
        <vt:i4>1376330</vt:i4>
      </vt:variant>
      <vt:variant>
        <vt:i4>1347</vt:i4>
      </vt:variant>
      <vt:variant>
        <vt:i4>0</vt:i4>
      </vt:variant>
      <vt:variant>
        <vt:i4>5</vt:i4>
      </vt:variant>
      <vt:variant>
        <vt:lpwstr>https://www.ncbi.nlm.nih.gov/pmc/articles/PMC2769560/</vt:lpwstr>
      </vt:variant>
      <vt:variant>
        <vt:lpwstr/>
      </vt:variant>
      <vt:variant>
        <vt:i4>94</vt:i4>
      </vt:variant>
      <vt:variant>
        <vt:i4>1344</vt:i4>
      </vt:variant>
      <vt:variant>
        <vt:i4>0</vt:i4>
      </vt:variant>
      <vt:variant>
        <vt:i4>5</vt:i4>
      </vt:variant>
      <vt:variant>
        <vt:lpwstr>https://www.ncbi.nlm.nih.gov/pubmed/19440407</vt:lpwstr>
      </vt:variant>
      <vt:variant>
        <vt:lpwstr/>
      </vt:variant>
      <vt:variant>
        <vt:i4>1245249</vt:i4>
      </vt:variant>
      <vt:variant>
        <vt:i4>1341</vt:i4>
      </vt:variant>
      <vt:variant>
        <vt:i4>0</vt:i4>
      </vt:variant>
      <vt:variant>
        <vt:i4>5</vt:i4>
      </vt:variant>
      <vt:variant>
        <vt:lpwstr>https://www.ncbi.nlm.nih.gov/pmc/articles/PMC2672371/</vt:lpwstr>
      </vt:variant>
      <vt:variant>
        <vt:lpwstr/>
      </vt:variant>
      <vt:variant>
        <vt:i4>655444</vt:i4>
      </vt:variant>
      <vt:variant>
        <vt:i4>1338</vt:i4>
      </vt:variant>
      <vt:variant>
        <vt:i4>0</vt:i4>
      </vt:variant>
      <vt:variant>
        <vt:i4>5</vt:i4>
      </vt:variant>
      <vt:variant>
        <vt:lpwstr>https://www.ncbi.nlm.nih.gov/pubmed/11678604</vt:lpwstr>
      </vt:variant>
      <vt:variant>
        <vt:lpwstr/>
      </vt:variant>
      <vt:variant>
        <vt:i4>917590</vt:i4>
      </vt:variant>
      <vt:variant>
        <vt:i4>1335</vt:i4>
      </vt:variant>
      <vt:variant>
        <vt:i4>0</vt:i4>
      </vt:variant>
      <vt:variant>
        <vt:i4>5</vt:i4>
      </vt:variant>
      <vt:variant>
        <vt:lpwstr>https://www.ncbi.nlm.nih.gov/pubmed/14971645</vt:lpwstr>
      </vt:variant>
      <vt:variant>
        <vt:lpwstr/>
      </vt:variant>
      <vt:variant>
        <vt:i4>917596</vt:i4>
      </vt:variant>
      <vt:variant>
        <vt:i4>1332</vt:i4>
      </vt:variant>
      <vt:variant>
        <vt:i4>0</vt:i4>
      </vt:variant>
      <vt:variant>
        <vt:i4>5</vt:i4>
      </vt:variant>
      <vt:variant>
        <vt:lpwstr>https://www.ncbi.nlm.nih.gov/pubmed/17216127</vt:lpwstr>
      </vt:variant>
      <vt:variant>
        <vt:lpwstr/>
      </vt:variant>
      <vt:variant>
        <vt:i4>1900611</vt:i4>
      </vt:variant>
      <vt:variant>
        <vt:i4>1329</vt:i4>
      </vt:variant>
      <vt:variant>
        <vt:i4>0</vt:i4>
      </vt:variant>
      <vt:variant>
        <vt:i4>5</vt:i4>
      </vt:variant>
      <vt:variant>
        <vt:lpwstr>https://www.ncbi.nlm.nih.gov/pmc/articles/PMC3760965/</vt:lpwstr>
      </vt:variant>
      <vt:variant>
        <vt:lpwstr/>
      </vt:variant>
      <vt:variant>
        <vt:i4>262239</vt:i4>
      </vt:variant>
      <vt:variant>
        <vt:i4>1326</vt:i4>
      </vt:variant>
      <vt:variant>
        <vt:i4>0</vt:i4>
      </vt:variant>
      <vt:variant>
        <vt:i4>5</vt:i4>
      </vt:variant>
      <vt:variant>
        <vt:lpwstr>https://www.ncbi.nlm.nih.gov/pubmed/26435679</vt:lpwstr>
      </vt:variant>
      <vt:variant>
        <vt:lpwstr/>
      </vt:variant>
      <vt:variant>
        <vt:i4>1048650</vt:i4>
      </vt:variant>
      <vt:variant>
        <vt:i4>1323</vt:i4>
      </vt:variant>
      <vt:variant>
        <vt:i4>0</vt:i4>
      </vt:variant>
      <vt:variant>
        <vt:i4>5</vt:i4>
      </vt:variant>
      <vt:variant>
        <vt:lpwstr>https://www.ncbi.nlm.nih.gov/pmc/articles/PMC4589149/</vt:lpwstr>
      </vt:variant>
      <vt:variant>
        <vt:lpwstr/>
      </vt:variant>
      <vt:variant>
        <vt:i4>524383</vt:i4>
      </vt:variant>
      <vt:variant>
        <vt:i4>1320</vt:i4>
      </vt:variant>
      <vt:variant>
        <vt:i4>0</vt:i4>
      </vt:variant>
      <vt:variant>
        <vt:i4>5</vt:i4>
      </vt:variant>
      <vt:variant>
        <vt:lpwstr>https://www.ncbi.nlm.nih.gov/pubmed/18496671</vt:lpwstr>
      </vt:variant>
      <vt:variant>
        <vt:lpwstr/>
      </vt:variant>
      <vt:variant>
        <vt:i4>393300</vt:i4>
      </vt:variant>
      <vt:variant>
        <vt:i4>1317</vt:i4>
      </vt:variant>
      <vt:variant>
        <vt:i4>0</vt:i4>
      </vt:variant>
      <vt:variant>
        <vt:i4>5</vt:i4>
      </vt:variant>
      <vt:variant>
        <vt:lpwstr>https://www.ncbi.nlm.nih.gov/pubmed/11678608</vt:lpwstr>
      </vt:variant>
      <vt:variant>
        <vt:lpwstr/>
      </vt:variant>
      <vt:variant>
        <vt:i4>852061</vt:i4>
      </vt:variant>
      <vt:variant>
        <vt:i4>1314</vt:i4>
      </vt:variant>
      <vt:variant>
        <vt:i4>0</vt:i4>
      </vt:variant>
      <vt:variant>
        <vt:i4>5</vt:i4>
      </vt:variant>
      <vt:variant>
        <vt:lpwstr>https://www.ncbi.nlm.nih.gov/pubmed/21423838</vt:lpwstr>
      </vt:variant>
      <vt:variant>
        <vt:lpwstr/>
      </vt:variant>
      <vt:variant>
        <vt:i4>1179726</vt:i4>
      </vt:variant>
      <vt:variant>
        <vt:i4>1311</vt:i4>
      </vt:variant>
      <vt:variant>
        <vt:i4>0</vt:i4>
      </vt:variant>
      <vt:variant>
        <vt:i4>5</vt:i4>
      </vt:variant>
      <vt:variant>
        <vt:lpwstr>https://www.ncbi.nlm.nih.gov/pmc/articles/PMC3058949/</vt:lpwstr>
      </vt:variant>
      <vt:variant>
        <vt:lpwstr/>
      </vt:variant>
      <vt:variant>
        <vt:i4>589919</vt:i4>
      </vt:variant>
      <vt:variant>
        <vt:i4>1308</vt:i4>
      </vt:variant>
      <vt:variant>
        <vt:i4>0</vt:i4>
      </vt:variant>
      <vt:variant>
        <vt:i4>5</vt:i4>
      </vt:variant>
      <vt:variant>
        <vt:lpwstr>https://www.ncbi.nlm.nih.gov/pubmed/18598583</vt:lpwstr>
      </vt:variant>
      <vt:variant>
        <vt:lpwstr/>
      </vt:variant>
      <vt:variant>
        <vt:i4>524374</vt:i4>
      </vt:variant>
      <vt:variant>
        <vt:i4>1305</vt:i4>
      </vt:variant>
      <vt:variant>
        <vt:i4>0</vt:i4>
      </vt:variant>
      <vt:variant>
        <vt:i4>5</vt:i4>
      </vt:variant>
      <vt:variant>
        <vt:lpwstr>https://www.ncbi.nlm.nih.gov/pubmed/20077283</vt:lpwstr>
      </vt:variant>
      <vt:variant>
        <vt:lpwstr/>
      </vt:variant>
      <vt:variant>
        <vt:i4>393308</vt:i4>
      </vt:variant>
      <vt:variant>
        <vt:i4>1302</vt:i4>
      </vt:variant>
      <vt:variant>
        <vt:i4>0</vt:i4>
      </vt:variant>
      <vt:variant>
        <vt:i4>5</vt:i4>
      </vt:variant>
      <vt:variant>
        <vt:lpwstr>https://www.ncbi.nlm.nih.gov/pubmed/20526862</vt:lpwstr>
      </vt:variant>
      <vt:variant>
        <vt:lpwstr/>
      </vt:variant>
      <vt:variant>
        <vt:i4>720979</vt:i4>
      </vt:variant>
      <vt:variant>
        <vt:i4>1299</vt:i4>
      </vt:variant>
      <vt:variant>
        <vt:i4>0</vt:i4>
      </vt:variant>
      <vt:variant>
        <vt:i4>5</vt:i4>
      </vt:variant>
      <vt:variant>
        <vt:lpwstr>https://www.ncbi.nlm.nih.gov/pubmed/20517581</vt:lpwstr>
      </vt:variant>
      <vt:variant>
        <vt:lpwstr/>
      </vt:variant>
      <vt:variant>
        <vt:i4>3932259</vt:i4>
      </vt:variant>
      <vt:variant>
        <vt:i4>1296</vt:i4>
      </vt:variant>
      <vt:variant>
        <vt:i4>0</vt:i4>
      </vt:variant>
      <vt:variant>
        <vt:i4>5</vt:i4>
      </vt:variant>
      <vt:variant>
        <vt:lpwstr>https://www.ncbi.nlm.nih.gov/pubmed/9514035</vt:lpwstr>
      </vt:variant>
      <vt:variant>
        <vt:lpwstr/>
      </vt:variant>
      <vt:variant>
        <vt:i4>524371</vt:i4>
      </vt:variant>
      <vt:variant>
        <vt:i4>1293</vt:i4>
      </vt:variant>
      <vt:variant>
        <vt:i4>0</vt:i4>
      </vt:variant>
      <vt:variant>
        <vt:i4>5</vt:i4>
      </vt:variant>
      <vt:variant>
        <vt:lpwstr>https://www.ncbi.nlm.nih.gov/pubmed/10606690</vt:lpwstr>
      </vt:variant>
      <vt:variant>
        <vt:lpwstr/>
      </vt:variant>
      <vt:variant>
        <vt:i4>458846</vt:i4>
      </vt:variant>
      <vt:variant>
        <vt:i4>1290</vt:i4>
      </vt:variant>
      <vt:variant>
        <vt:i4>0</vt:i4>
      </vt:variant>
      <vt:variant>
        <vt:i4>5</vt:i4>
      </vt:variant>
      <vt:variant>
        <vt:lpwstr>https://www.ncbi.nlm.nih.gov/pubmed/16325528</vt:lpwstr>
      </vt:variant>
      <vt:variant>
        <vt:lpwstr/>
      </vt:variant>
      <vt:variant>
        <vt:i4>3801123</vt:i4>
      </vt:variant>
      <vt:variant>
        <vt:i4>1287</vt:i4>
      </vt:variant>
      <vt:variant>
        <vt:i4>0</vt:i4>
      </vt:variant>
      <vt:variant>
        <vt:i4>5</vt:i4>
      </vt:variant>
      <vt:variant>
        <vt:lpwstr/>
      </vt:variant>
      <vt:variant>
        <vt:lpwstr>bookmark148</vt:lpwstr>
      </vt:variant>
      <vt:variant>
        <vt:i4>3801123</vt:i4>
      </vt:variant>
      <vt:variant>
        <vt:i4>1284</vt:i4>
      </vt:variant>
      <vt:variant>
        <vt:i4>0</vt:i4>
      </vt:variant>
      <vt:variant>
        <vt:i4>5</vt:i4>
      </vt:variant>
      <vt:variant>
        <vt:lpwstr/>
      </vt:variant>
      <vt:variant>
        <vt:lpwstr>bookmark144</vt:lpwstr>
      </vt:variant>
      <vt:variant>
        <vt:i4>3801123</vt:i4>
      </vt:variant>
      <vt:variant>
        <vt:i4>1281</vt:i4>
      </vt:variant>
      <vt:variant>
        <vt:i4>0</vt:i4>
      </vt:variant>
      <vt:variant>
        <vt:i4>5</vt:i4>
      </vt:variant>
      <vt:variant>
        <vt:lpwstr/>
      </vt:variant>
      <vt:variant>
        <vt:lpwstr>bookmark145</vt:lpwstr>
      </vt:variant>
      <vt:variant>
        <vt:i4>3801123</vt:i4>
      </vt:variant>
      <vt:variant>
        <vt:i4>1278</vt:i4>
      </vt:variant>
      <vt:variant>
        <vt:i4>0</vt:i4>
      </vt:variant>
      <vt:variant>
        <vt:i4>5</vt:i4>
      </vt:variant>
      <vt:variant>
        <vt:lpwstr/>
      </vt:variant>
      <vt:variant>
        <vt:lpwstr>bookmark143</vt:lpwstr>
      </vt:variant>
      <vt:variant>
        <vt:i4>3801123</vt:i4>
      </vt:variant>
      <vt:variant>
        <vt:i4>1275</vt:i4>
      </vt:variant>
      <vt:variant>
        <vt:i4>0</vt:i4>
      </vt:variant>
      <vt:variant>
        <vt:i4>5</vt:i4>
      </vt:variant>
      <vt:variant>
        <vt:lpwstr/>
      </vt:variant>
      <vt:variant>
        <vt:lpwstr>bookmark142</vt:lpwstr>
      </vt:variant>
      <vt:variant>
        <vt:i4>3997731</vt:i4>
      </vt:variant>
      <vt:variant>
        <vt:i4>1272</vt:i4>
      </vt:variant>
      <vt:variant>
        <vt:i4>0</vt:i4>
      </vt:variant>
      <vt:variant>
        <vt:i4>5</vt:i4>
      </vt:variant>
      <vt:variant>
        <vt:lpwstr/>
      </vt:variant>
      <vt:variant>
        <vt:lpwstr>bookmark136</vt:lpwstr>
      </vt:variant>
      <vt:variant>
        <vt:i4>4063267</vt:i4>
      </vt:variant>
      <vt:variant>
        <vt:i4>1269</vt:i4>
      </vt:variant>
      <vt:variant>
        <vt:i4>0</vt:i4>
      </vt:variant>
      <vt:variant>
        <vt:i4>5</vt:i4>
      </vt:variant>
      <vt:variant>
        <vt:lpwstr/>
      </vt:variant>
      <vt:variant>
        <vt:lpwstr>bookmark109</vt:lpwstr>
      </vt:variant>
      <vt:variant>
        <vt:i4>4063267</vt:i4>
      </vt:variant>
      <vt:variant>
        <vt:i4>1266</vt:i4>
      </vt:variant>
      <vt:variant>
        <vt:i4>0</vt:i4>
      </vt:variant>
      <vt:variant>
        <vt:i4>5</vt:i4>
      </vt:variant>
      <vt:variant>
        <vt:lpwstr/>
      </vt:variant>
      <vt:variant>
        <vt:lpwstr>bookmark109</vt:lpwstr>
      </vt:variant>
      <vt:variant>
        <vt:i4>3932195</vt:i4>
      </vt:variant>
      <vt:variant>
        <vt:i4>1263</vt:i4>
      </vt:variant>
      <vt:variant>
        <vt:i4>0</vt:i4>
      </vt:variant>
      <vt:variant>
        <vt:i4>5</vt:i4>
      </vt:variant>
      <vt:variant>
        <vt:lpwstr/>
      </vt:variant>
      <vt:variant>
        <vt:lpwstr>bookmark128</vt:lpwstr>
      </vt:variant>
      <vt:variant>
        <vt:i4>3932195</vt:i4>
      </vt:variant>
      <vt:variant>
        <vt:i4>1260</vt:i4>
      </vt:variant>
      <vt:variant>
        <vt:i4>0</vt:i4>
      </vt:variant>
      <vt:variant>
        <vt:i4>5</vt:i4>
      </vt:variant>
      <vt:variant>
        <vt:lpwstr/>
      </vt:variant>
      <vt:variant>
        <vt:lpwstr>bookmark127</vt:lpwstr>
      </vt:variant>
      <vt:variant>
        <vt:i4>3997738</vt:i4>
      </vt:variant>
      <vt:variant>
        <vt:i4>1257</vt:i4>
      </vt:variant>
      <vt:variant>
        <vt:i4>0</vt:i4>
      </vt:variant>
      <vt:variant>
        <vt:i4>5</vt:i4>
      </vt:variant>
      <vt:variant>
        <vt:lpwstr/>
      </vt:variant>
      <vt:variant>
        <vt:lpwstr>bookmark83</vt:lpwstr>
      </vt:variant>
      <vt:variant>
        <vt:i4>3932195</vt:i4>
      </vt:variant>
      <vt:variant>
        <vt:i4>1254</vt:i4>
      </vt:variant>
      <vt:variant>
        <vt:i4>0</vt:i4>
      </vt:variant>
      <vt:variant>
        <vt:i4>5</vt:i4>
      </vt:variant>
      <vt:variant>
        <vt:lpwstr/>
      </vt:variant>
      <vt:variant>
        <vt:lpwstr>bookmark126</vt:lpwstr>
      </vt:variant>
      <vt:variant>
        <vt:i4>3997731</vt:i4>
      </vt:variant>
      <vt:variant>
        <vt:i4>1251</vt:i4>
      </vt:variant>
      <vt:variant>
        <vt:i4>0</vt:i4>
      </vt:variant>
      <vt:variant>
        <vt:i4>5</vt:i4>
      </vt:variant>
      <vt:variant>
        <vt:lpwstr/>
      </vt:variant>
      <vt:variant>
        <vt:lpwstr>bookmark131</vt:lpwstr>
      </vt:variant>
      <vt:variant>
        <vt:i4>4128803</vt:i4>
      </vt:variant>
      <vt:variant>
        <vt:i4>1248</vt:i4>
      </vt:variant>
      <vt:variant>
        <vt:i4>0</vt:i4>
      </vt:variant>
      <vt:variant>
        <vt:i4>5</vt:i4>
      </vt:variant>
      <vt:variant>
        <vt:lpwstr/>
      </vt:variant>
      <vt:variant>
        <vt:lpwstr>bookmark112</vt:lpwstr>
      </vt:variant>
      <vt:variant>
        <vt:i4>3932195</vt:i4>
      </vt:variant>
      <vt:variant>
        <vt:i4>1245</vt:i4>
      </vt:variant>
      <vt:variant>
        <vt:i4>0</vt:i4>
      </vt:variant>
      <vt:variant>
        <vt:i4>5</vt:i4>
      </vt:variant>
      <vt:variant>
        <vt:lpwstr/>
      </vt:variant>
      <vt:variant>
        <vt:lpwstr>bookmark124</vt:lpwstr>
      </vt:variant>
      <vt:variant>
        <vt:i4>4128803</vt:i4>
      </vt:variant>
      <vt:variant>
        <vt:i4>1242</vt:i4>
      </vt:variant>
      <vt:variant>
        <vt:i4>0</vt:i4>
      </vt:variant>
      <vt:variant>
        <vt:i4>5</vt:i4>
      </vt:variant>
      <vt:variant>
        <vt:lpwstr/>
      </vt:variant>
      <vt:variant>
        <vt:lpwstr>bookmark117</vt:lpwstr>
      </vt:variant>
      <vt:variant>
        <vt:i4>3932195</vt:i4>
      </vt:variant>
      <vt:variant>
        <vt:i4>1239</vt:i4>
      </vt:variant>
      <vt:variant>
        <vt:i4>0</vt:i4>
      </vt:variant>
      <vt:variant>
        <vt:i4>5</vt:i4>
      </vt:variant>
      <vt:variant>
        <vt:lpwstr/>
      </vt:variant>
      <vt:variant>
        <vt:lpwstr>bookmark123</vt:lpwstr>
      </vt:variant>
      <vt:variant>
        <vt:i4>3932195</vt:i4>
      </vt:variant>
      <vt:variant>
        <vt:i4>1236</vt:i4>
      </vt:variant>
      <vt:variant>
        <vt:i4>0</vt:i4>
      </vt:variant>
      <vt:variant>
        <vt:i4>5</vt:i4>
      </vt:variant>
      <vt:variant>
        <vt:lpwstr/>
      </vt:variant>
      <vt:variant>
        <vt:lpwstr>bookmark121</vt:lpwstr>
      </vt:variant>
      <vt:variant>
        <vt:i4>4063267</vt:i4>
      </vt:variant>
      <vt:variant>
        <vt:i4>1233</vt:i4>
      </vt:variant>
      <vt:variant>
        <vt:i4>0</vt:i4>
      </vt:variant>
      <vt:variant>
        <vt:i4>5</vt:i4>
      </vt:variant>
      <vt:variant>
        <vt:lpwstr/>
      </vt:variant>
      <vt:variant>
        <vt:lpwstr>bookmark103</vt:lpwstr>
      </vt:variant>
      <vt:variant>
        <vt:i4>4128803</vt:i4>
      </vt:variant>
      <vt:variant>
        <vt:i4>1230</vt:i4>
      </vt:variant>
      <vt:variant>
        <vt:i4>0</vt:i4>
      </vt:variant>
      <vt:variant>
        <vt:i4>5</vt:i4>
      </vt:variant>
      <vt:variant>
        <vt:lpwstr/>
      </vt:variant>
      <vt:variant>
        <vt:lpwstr>bookmark119</vt:lpwstr>
      </vt:variant>
      <vt:variant>
        <vt:i4>3932195</vt:i4>
      </vt:variant>
      <vt:variant>
        <vt:i4>1227</vt:i4>
      </vt:variant>
      <vt:variant>
        <vt:i4>0</vt:i4>
      </vt:variant>
      <vt:variant>
        <vt:i4>5</vt:i4>
      </vt:variant>
      <vt:variant>
        <vt:lpwstr/>
      </vt:variant>
      <vt:variant>
        <vt:lpwstr>bookmark120</vt:lpwstr>
      </vt:variant>
      <vt:variant>
        <vt:i4>4063267</vt:i4>
      </vt:variant>
      <vt:variant>
        <vt:i4>1224</vt:i4>
      </vt:variant>
      <vt:variant>
        <vt:i4>0</vt:i4>
      </vt:variant>
      <vt:variant>
        <vt:i4>5</vt:i4>
      </vt:variant>
      <vt:variant>
        <vt:lpwstr/>
      </vt:variant>
      <vt:variant>
        <vt:lpwstr>bookmark102</vt:lpwstr>
      </vt:variant>
      <vt:variant>
        <vt:i4>3866667</vt:i4>
      </vt:variant>
      <vt:variant>
        <vt:i4>1221</vt:i4>
      </vt:variant>
      <vt:variant>
        <vt:i4>0</vt:i4>
      </vt:variant>
      <vt:variant>
        <vt:i4>5</vt:i4>
      </vt:variant>
      <vt:variant>
        <vt:lpwstr/>
      </vt:variant>
      <vt:variant>
        <vt:lpwstr>bookmark95</vt:lpwstr>
      </vt:variant>
      <vt:variant>
        <vt:i4>3932195</vt:i4>
      </vt:variant>
      <vt:variant>
        <vt:i4>1218</vt:i4>
      </vt:variant>
      <vt:variant>
        <vt:i4>0</vt:i4>
      </vt:variant>
      <vt:variant>
        <vt:i4>5</vt:i4>
      </vt:variant>
      <vt:variant>
        <vt:lpwstr/>
      </vt:variant>
      <vt:variant>
        <vt:lpwstr>bookmark129</vt:lpwstr>
      </vt:variant>
      <vt:variant>
        <vt:i4>4128803</vt:i4>
      </vt:variant>
      <vt:variant>
        <vt:i4>1215</vt:i4>
      </vt:variant>
      <vt:variant>
        <vt:i4>0</vt:i4>
      </vt:variant>
      <vt:variant>
        <vt:i4>5</vt:i4>
      </vt:variant>
      <vt:variant>
        <vt:lpwstr/>
      </vt:variant>
      <vt:variant>
        <vt:lpwstr>bookmark116</vt:lpwstr>
      </vt:variant>
      <vt:variant>
        <vt:i4>3538986</vt:i4>
      </vt:variant>
      <vt:variant>
        <vt:i4>1212</vt:i4>
      </vt:variant>
      <vt:variant>
        <vt:i4>0</vt:i4>
      </vt:variant>
      <vt:variant>
        <vt:i4>5</vt:i4>
      </vt:variant>
      <vt:variant>
        <vt:lpwstr/>
      </vt:variant>
      <vt:variant>
        <vt:lpwstr>bookmark88</vt:lpwstr>
      </vt:variant>
      <vt:variant>
        <vt:i4>3670059</vt:i4>
      </vt:variant>
      <vt:variant>
        <vt:i4>1209</vt:i4>
      </vt:variant>
      <vt:variant>
        <vt:i4>0</vt:i4>
      </vt:variant>
      <vt:variant>
        <vt:i4>5</vt:i4>
      </vt:variant>
      <vt:variant>
        <vt:lpwstr/>
      </vt:variant>
      <vt:variant>
        <vt:lpwstr>bookmark96</vt:lpwstr>
      </vt:variant>
      <vt:variant>
        <vt:i4>3932195</vt:i4>
      </vt:variant>
      <vt:variant>
        <vt:i4>1206</vt:i4>
      </vt:variant>
      <vt:variant>
        <vt:i4>0</vt:i4>
      </vt:variant>
      <vt:variant>
        <vt:i4>5</vt:i4>
      </vt:variant>
      <vt:variant>
        <vt:lpwstr/>
      </vt:variant>
      <vt:variant>
        <vt:lpwstr>bookmark125</vt:lpwstr>
      </vt:variant>
      <vt:variant>
        <vt:i4>3997731</vt:i4>
      </vt:variant>
      <vt:variant>
        <vt:i4>1203</vt:i4>
      </vt:variant>
      <vt:variant>
        <vt:i4>0</vt:i4>
      </vt:variant>
      <vt:variant>
        <vt:i4>5</vt:i4>
      </vt:variant>
      <vt:variant>
        <vt:lpwstr/>
      </vt:variant>
      <vt:variant>
        <vt:lpwstr>bookmark133</vt:lpwstr>
      </vt:variant>
      <vt:variant>
        <vt:i4>4128803</vt:i4>
      </vt:variant>
      <vt:variant>
        <vt:i4>1200</vt:i4>
      </vt:variant>
      <vt:variant>
        <vt:i4>0</vt:i4>
      </vt:variant>
      <vt:variant>
        <vt:i4>5</vt:i4>
      </vt:variant>
      <vt:variant>
        <vt:lpwstr/>
      </vt:variant>
      <vt:variant>
        <vt:lpwstr>bookmark112</vt:lpwstr>
      </vt:variant>
      <vt:variant>
        <vt:i4>3866661</vt:i4>
      </vt:variant>
      <vt:variant>
        <vt:i4>1197</vt:i4>
      </vt:variant>
      <vt:variant>
        <vt:i4>0</vt:i4>
      </vt:variant>
      <vt:variant>
        <vt:i4>5</vt:i4>
      </vt:variant>
      <vt:variant>
        <vt:lpwstr/>
      </vt:variant>
      <vt:variant>
        <vt:lpwstr>bookmark75</vt:lpwstr>
      </vt:variant>
      <vt:variant>
        <vt:i4>4063267</vt:i4>
      </vt:variant>
      <vt:variant>
        <vt:i4>1194</vt:i4>
      </vt:variant>
      <vt:variant>
        <vt:i4>0</vt:i4>
      </vt:variant>
      <vt:variant>
        <vt:i4>5</vt:i4>
      </vt:variant>
      <vt:variant>
        <vt:lpwstr/>
      </vt:variant>
      <vt:variant>
        <vt:lpwstr>bookmark100</vt:lpwstr>
      </vt:variant>
      <vt:variant>
        <vt:i4>4128803</vt:i4>
      </vt:variant>
      <vt:variant>
        <vt:i4>1191</vt:i4>
      </vt:variant>
      <vt:variant>
        <vt:i4>0</vt:i4>
      </vt:variant>
      <vt:variant>
        <vt:i4>5</vt:i4>
      </vt:variant>
      <vt:variant>
        <vt:lpwstr/>
      </vt:variant>
      <vt:variant>
        <vt:lpwstr>bookmark111</vt:lpwstr>
      </vt:variant>
      <vt:variant>
        <vt:i4>4128803</vt:i4>
      </vt:variant>
      <vt:variant>
        <vt:i4>1188</vt:i4>
      </vt:variant>
      <vt:variant>
        <vt:i4>0</vt:i4>
      </vt:variant>
      <vt:variant>
        <vt:i4>5</vt:i4>
      </vt:variant>
      <vt:variant>
        <vt:lpwstr/>
      </vt:variant>
      <vt:variant>
        <vt:lpwstr>bookmark110</vt:lpwstr>
      </vt:variant>
      <vt:variant>
        <vt:i4>4063267</vt:i4>
      </vt:variant>
      <vt:variant>
        <vt:i4>1185</vt:i4>
      </vt:variant>
      <vt:variant>
        <vt:i4>0</vt:i4>
      </vt:variant>
      <vt:variant>
        <vt:i4>5</vt:i4>
      </vt:variant>
      <vt:variant>
        <vt:lpwstr/>
      </vt:variant>
      <vt:variant>
        <vt:lpwstr>bookmark109</vt:lpwstr>
      </vt:variant>
      <vt:variant>
        <vt:i4>4063267</vt:i4>
      </vt:variant>
      <vt:variant>
        <vt:i4>1182</vt:i4>
      </vt:variant>
      <vt:variant>
        <vt:i4>0</vt:i4>
      </vt:variant>
      <vt:variant>
        <vt:i4>5</vt:i4>
      </vt:variant>
      <vt:variant>
        <vt:lpwstr/>
      </vt:variant>
      <vt:variant>
        <vt:lpwstr>bookmark108</vt:lpwstr>
      </vt:variant>
      <vt:variant>
        <vt:i4>4063269</vt:i4>
      </vt:variant>
      <vt:variant>
        <vt:i4>1179</vt:i4>
      </vt:variant>
      <vt:variant>
        <vt:i4>0</vt:i4>
      </vt:variant>
      <vt:variant>
        <vt:i4>5</vt:i4>
      </vt:variant>
      <vt:variant>
        <vt:lpwstr/>
      </vt:variant>
      <vt:variant>
        <vt:lpwstr>bookmark70</vt:lpwstr>
      </vt:variant>
      <vt:variant>
        <vt:i4>4063267</vt:i4>
      </vt:variant>
      <vt:variant>
        <vt:i4>1176</vt:i4>
      </vt:variant>
      <vt:variant>
        <vt:i4>0</vt:i4>
      </vt:variant>
      <vt:variant>
        <vt:i4>5</vt:i4>
      </vt:variant>
      <vt:variant>
        <vt:lpwstr/>
      </vt:variant>
      <vt:variant>
        <vt:lpwstr>bookmark107</vt:lpwstr>
      </vt:variant>
      <vt:variant>
        <vt:i4>4063267</vt:i4>
      </vt:variant>
      <vt:variant>
        <vt:i4>1173</vt:i4>
      </vt:variant>
      <vt:variant>
        <vt:i4>0</vt:i4>
      </vt:variant>
      <vt:variant>
        <vt:i4>5</vt:i4>
      </vt:variant>
      <vt:variant>
        <vt:lpwstr/>
      </vt:variant>
      <vt:variant>
        <vt:lpwstr>bookmark106</vt:lpwstr>
      </vt:variant>
      <vt:variant>
        <vt:i4>3997739</vt:i4>
      </vt:variant>
      <vt:variant>
        <vt:i4>1170</vt:i4>
      </vt:variant>
      <vt:variant>
        <vt:i4>0</vt:i4>
      </vt:variant>
      <vt:variant>
        <vt:i4>5</vt:i4>
      </vt:variant>
      <vt:variant>
        <vt:lpwstr/>
      </vt:variant>
      <vt:variant>
        <vt:lpwstr>bookmark93</vt:lpwstr>
      </vt:variant>
      <vt:variant>
        <vt:i4>4063267</vt:i4>
      </vt:variant>
      <vt:variant>
        <vt:i4>1167</vt:i4>
      </vt:variant>
      <vt:variant>
        <vt:i4>0</vt:i4>
      </vt:variant>
      <vt:variant>
        <vt:i4>5</vt:i4>
      </vt:variant>
      <vt:variant>
        <vt:lpwstr/>
      </vt:variant>
      <vt:variant>
        <vt:lpwstr>bookmark105</vt:lpwstr>
      </vt:variant>
      <vt:variant>
        <vt:i4>4063267</vt:i4>
      </vt:variant>
      <vt:variant>
        <vt:i4>1164</vt:i4>
      </vt:variant>
      <vt:variant>
        <vt:i4>0</vt:i4>
      </vt:variant>
      <vt:variant>
        <vt:i4>5</vt:i4>
      </vt:variant>
      <vt:variant>
        <vt:lpwstr/>
      </vt:variant>
      <vt:variant>
        <vt:lpwstr>bookmark104</vt:lpwstr>
      </vt:variant>
      <vt:variant>
        <vt:i4>3801124</vt:i4>
      </vt:variant>
      <vt:variant>
        <vt:i4>1161</vt:i4>
      </vt:variant>
      <vt:variant>
        <vt:i4>0</vt:i4>
      </vt:variant>
      <vt:variant>
        <vt:i4>5</vt:i4>
      </vt:variant>
      <vt:variant>
        <vt:lpwstr/>
      </vt:variant>
      <vt:variant>
        <vt:lpwstr>bookmark64</vt:lpwstr>
      </vt:variant>
      <vt:variant>
        <vt:i4>3801130</vt:i4>
      </vt:variant>
      <vt:variant>
        <vt:i4>1158</vt:i4>
      </vt:variant>
      <vt:variant>
        <vt:i4>0</vt:i4>
      </vt:variant>
      <vt:variant>
        <vt:i4>5</vt:i4>
      </vt:variant>
      <vt:variant>
        <vt:lpwstr/>
      </vt:variant>
      <vt:variant>
        <vt:lpwstr>bookmark84</vt:lpwstr>
      </vt:variant>
      <vt:variant>
        <vt:i4>3997738</vt:i4>
      </vt:variant>
      <vt:variant>
        <vt:i4>1155</vt:i4>
      </vt:variant>
      <vt:variant>
        <vt:i4>0</vt:i4>
      </vt:variant>
      <vt:variant>
        <vt:i4>5</vt:i4>
      </vt:variant>
      <vt:variant>
        <vt:lpwstr/>
      </vt:variant>
      <vt:variant>
        <vt:lpwstr>bookmark83</vt:lpwstr>
      </vt:variant>
      <vt:variant>
        <vt:i4>4128804</vt:i4>
      </vt:variant>
      <vt:variant>
        <vt:i4>1152</vt:i4>
      </vt:variant>
      <vt:variant>
        <vt:i4>0</vt:i4>
      </vt:variant>
      <vt:variant>
        <vt:i4>5</vt:i4>
      </vt:variant>
      <vt:variant>
        <vt:lpwstr/>
      </vt:variant>
      <vt:variant>
        <vt:lpwstr>bookmark61</vt:lpwstr>
      </vt:variant>
      <vt:variant>
        <vt:i4>3801123</vt:i4>
      </vt:variant>
      <vt:variant>
        <vt:i4>1149</vt:i4>
      </vt:variant>
      <vt:variant>
        <vt:i4>0</vt:i4>
      </vt:variant>
      <vt:variant>
        <vt:i4>5</vt:i4>
      </vt:variant>
      <vt:variant>
        <vt:lpwstr/>
      </vt:variant>
      <vt:variant>
        <vt:lpwstr>bookmark14</vt:lpwstr>
      </vt:variant>
      <vt:variant>
        <vt:i4>917522</vt:i4>
      </vt:variant>
      <vt:variant>
        <vt:i4>1146</vt:i4>
      </vt:variant>
      <vt:variant>
        <vt:i4>0</vt:i4>
      </vt:variant>
      <vt:variant>
        <vt:i4>5</vt:i4>
      </vt:variant>
      <vt:variant>
        <vt:lpwstr/>
      </vt:variant>
      <vt:variant>
        <vt:lpwstr>bookmark6</vt:lpwstr>
      </vt:variant>
      <vt:variant>
        <vt:i4>3604517</vt:i4>
      </vt:variant>
      <vt:variant>
        <vt:i4>1143</vt:i4>
      </vt:variant>
      <vt:variant>
        <vt:i4>0</vt:i4>
      </vt:variant>
      <vt:variant>
        <vt:i4>5</vt:i4>
      </vt:variant>
      <vt:variant>
        <vt:lpwstr/>
      </vt:variant>
      <vt:variant>
        <vt:lpwstr>bookmark79</vt:lpwstr>
      </vt:variant>
      <vt:variant>
        <vt:i4>917522</vt:i4>
      </vt:variant>
      <vt:variant>
        <vt:i4>1140</vt:i4>
      </vt:variant>
      <vt:variant>
        <vt:i4>0</vt:i4>
      </vt:variant>
      <vt:variant>
        <vt:i4>5</vt:i4>
      </vt:variant>
      <vt:variant>
        <vt:lpwstr/>
      </vt:variant>
      <vt:variant>
        <vt:lpwstr>bookmark4</vt:lpwstr>
      </vt:variant>
      <vt:variant>
        <vt:i4>917522</vt:i4>
      </vt:variant>
      <vt:variant>
        <vt:i4>1137</vt:i4>
      </vt:variant>
      <vt:variant>
        <vt:i4>0</vt:i4>
      </vt:variant>
      <vt:variant>
        <vt:i4>5</vt:i4>
      </vt:variant>
      <vt:variant>
        <vt:lpwstr/>
      </vt:variant>
      <vt:variant>
        <vt:lpwstr>bookmark4</vt:lpwstr>
      </vt:variant>
      <vt:variant>
        <vt:i4>3735588</vt:i4>
      </vt:variant>
      <vt:variant>
        <vt:i4>1134</vt:i4>
      </vt:variant>
      <vt:variant>
        <vt:i4>0</vt:i4>
      </vt:variant>
      <vt:variant>
        <vt:i4>5</vt:i4>
      </vt:variant>
      <vt:variant>
        <vt:lpwstr/>
      </vt:variant>
      <vt:variant>
        <vt:lpwstr>bookmark67</vt:lpwstr>
      </vt:variant>
      <vt:variant>
        <vt:i4>3604517</vt:i4>
      </vt:variant>
      <vt:variant>
        <vt:i4>1131</vt:i4>
      </vt:variant>
      <vt:variant>
        <vt:i4>0</vt:i4>
      </vt:variant>
      <vt:variant>
        <vt:i4>5</vt:i4>
      </vt:variant>
      <vt:variant>
        <vt:lpwstr/>
      </vt:variant>
      <vt:variant>
        <vt:lpwstr>bookmark79</vt:lpwstr>
      </vt:variant>
      <vt:variant>
        <vt:i4>3538981</vt:i4>
      </vt:variant>
      <vt:variant>
        <vt:i4>1128</vt:i4>
      </vt:variant>
      <vt:variant>
        <vt:i4>0</vt:i4>
      </vt:variant>
      <vt:variant>
        <vt:i4>5</vt:i4>
      </vt:variant>
      <vt:variant>
        <vt:lpwstr/>
      </vt:variant>
      <vt:variant>
        <vt:lpwstr>bookmark78</vt:lpwstr>
      </vt:variant>
      <vt:variant>
        <vt:i4>3735589</vt:i4>
      </vt:variant>
      <vt:variant>
        <vt:i4>1125</vt:i4>
      </vt:variant>
      <vt:variant>
        <vt:i4>0</vt:i4>
      </vt:variant>
      <vt:variant>
        <vt:i4>5</vt:i4>
      </vt:variant>
      <vt:variant>
        <vt:lpwstr/>
      </vt:variant>
      <vt:variant>
        <vt:lpwstr>bookmark77</vt:lpwstr>
      </vt:variant>
      <vt:variant>
        <vt:i4>3538983</vt:i4>
      </vt:variant>
      <vt:variant>
        <vt:i4>1122</vt:i4>
      </vt:variant>
      <vt:variant>
        <vt:i4>0</vt:i4>
      </vt:variant>
      <vt:variant>
        <vt:i4>5</vt:i4>
      </vt:variant>
      <vt:variant>
        <vt:lpwstr/>
      </vt:variant>
      <vt:variant>
        <vt:lpwstr>bookmark58</vt:lpwstr>
      </vt:variant>
      <vt:variant>
        <vt:i4>3670055</vt:i4>
      </vt:variant>
      <vt:variant>
        <vt:i4>1119</vt:i4>
      </vt:variant>
      <vt:variant>
        <vt:i4>0</vt:i4>
      </vt:variant>
      <vt:variant>
        <vt:i4>5</vt:i4>
      </vt:variant>
      <vt:variant>
        <vt:lpwstr/>
      </vt:variant>
      <vt:variant>
        <vt:lpwstr>bookmark56</vt:lpwstr>
      </vt:variant>
      <vt:variant>
        <vt:i4>3866661</vt:i4>
      </vt:variant>
      <vt:variant>
        <vt:i4>1116</vt:i4>
      </vt:variant>
      <vt:variant>
        <vt:i4>0</vt:i4>
      </vt:variant>
      <vt:variant>
        <vt:i4>5</vt:i4>
      </vt:variant>
      <vt:variant>
        <vt:lpwstr/>
      </vt:variant>
      <vt:variant>
        <vt:lpwstr>bookmark75</vt:lpwstr>
      </vt:variant>
      <vt:variant>
        <vt:i4>3801127</vt:i4>
      </vt:variant>
      <vt:variant>
        <vt:i4>1113</vt:i4>
      </vt:variant>
      <vt:variant>
        <vt:i4>0</vt:i4>
      </vt:variant>
      <vt:variant>
        <vt:i4>5</vt:i4>
      </vt:variant>
      <vt:variant>
        <vt:lpwstr/>
      </vt:variant>
      <vt:variant>
        <vt:lpwstr>bookmark54</vt:lpwstr>
      </vt:variant>
      <vt:variant>
        <vt:i4>1048582</vt:i4>
      </vt:variant>
      <vt:variant>
        <vt:i4>1110</vt:i4>
      </vt:variant>
      <vt:variant>
        <vt:i4>0</vt:i4>
      </vt:variant>
      <vt:variant>
        <vt:i4>5</vt:i4>
      </vt:variant>
      <vt:variant>
        <vt:lpwstr>https://www.ncbi.nlm.nih.gov/pmc/articles/PMC4144270/</vt:lpwstr>
      </vt:variant>
      <vt:variant>
        <vt:lpwstr>R244</vt:lpwstr>
      </vt:variant>
      <vt:variant>
        <vt:i4>1507334</vt:i4>
      </vt:variant>
      <vt:variant>
        <vt:i4>1107</vt:i4>
      </vt:variant>
      <vt:variant>
        <vt:i4>0</vt:i4>
      </vt:variant>
      <vt:variant>
        <vt:i4>5</vt:i4>
      </vt:variant>
      <vt:variant>
        <vt:lpwstr>https://www.ncbi.nlm.nih.gov/pmc/articles/PMC4144270/</vt:lpwstr>
      </vt:variant>
      <vt:variant>
        <vt:lpwstr>R243</vt:lpwstr>
      </vt:variant>
      <vt:variant>
        <vt:i4>1507334</vt:i4>
      </vt:variant>
      <vt:variant>
        <vt:i4>1104</vt:i4>
      </vt:variant>
      <vt:variant>
        <vt:i4>0</vt:i4>
      </vt:variant>
      <vt:variant>
        <vt:i4>5</vt:i4>
      </vt:variant>
      <vt:variant>
        <vt:lpwstr>https://www.ncbi.nlm.nih.gov/pmc/articles/PMC4144270/</vt:lpwstr>
      </vt:variant>
      <vt:variant>
        <vt:lpwstr>R243</vt:lpwstr>
      </vt:variant>
      <vt:variant>
        <vt:i4>1441798</vt:i4>
      </vt:variant>
      <vt:variant>
        <vt:i4>1101</vt:i4>
      </vt:variant>
      <vt:variant>
        <vt:i4>0</vt:i4>
      </vt:variant>
      <vt:variant>
        <vt:i4>5</vt:i4>
      </vt:variant>
      <vt:variant>
        <vt:lpwstr>https://www.ncbi.nlm.nih.gov/pmc/articles/PMC4144270/</vt:lpwstr>
      </vt:variant>
      <vt:variant>
        <vt:lpwstr>R242</vt:lpwstr>
      </vt:variant>
      <vt:variant>
        <vt:i4>1376262</vt:i4>
      </vt:variant>
      <vt:variant>
        <vt:i4>1098</vt:i4>
      </vt:variant>
      <vt:variant>
        <vt:i4>0</vt:i4>
      </vt:variant>
      <vt:variant>
        <vt:i4>5</vt:i4>
      </vt:variant>
      <vt:variant>
        <vt:lpwstr>https://www.ncbi.nlm.nih.gov/pmc/articles/PMC4144270/</vt:lpwstr>
      </vt:variant>
      <vt:variant>
        <vt:lpwstr>R241</vt:lpwstr>
      </vt:variant>
      <vt:variant>
        <vt:i4>1310726</vt:i4>
      </vt:variant>
      <vt:variant>
        <vt:i4>1095</vt:i4>
      </vt:variant>
      <vt:variant>
        <vt:i4>0</vt:i4>
      </vt:variant>
      <vt:variant>
        <vt:i4>5</vt:i4>
      </vt:variant>
      <vt:variant>
        <vt:lpwstr>https://www.ncbi.nlm.nih.gov/pmc/articles/PMC4144270/</vt:lpwstr>
      </vt:variant>
      <vt:variant>
        <vt:lpwstr>R240</vt:lpwstr>
      </vt:variant>
      <vt:variant>
        <vt:i4>1900545</vt:i4>
      </vt:variant>
      <vt:variant>
        <vt:i4>1092</vt:i4>
      </vt:variant>
      <vt:variant>
        <vt:i4>0</vt:i4>
      </vt:variant>
      <vt:variant>
        <vt:i4>5</vt:i4>
      </vt:variant>
      <vt:variant>
        <vt:lpwstr>https://www.ncbi.nlm.nih.gov/pmc/articles/PMC4144270/</vt:lpwstr>
      </vt:variant>
      <vt:variant>
        <vt:lpwstr>R239</vt:lpwstr>
      </vt:variant>
      <vt:variant>
        <vt:i4>1835009</vt:i4>
      </vt:variant>
      <vt:variant>
        <vt:i4>1089</vt:i4>
      </vt:variant>
      <vt:variant>
        <vt:i4>0</vt:i4>
      </vt:variant>
      <vt:variant>
        <vt:i4>5</vt:i4>
      </vt:variant>
      <vt:variant>
        <vt:lpwstr>https://www.ncbi.nlm.nih.gov/pmc/articles/PMC4144270/</vt:lpwstr>
      </vt:variant>
      <vt:variant>
        <vt:lpwstr>R238</vt:lpwstr>
      </vt:variant>
      <vt:variant>
        <vt:i4>1245185</vt:i4>
      </vt:variant>
      <vt:variant>
        <vt:i4>1086</vt:i4>
      </vt:variant>
      <vt:variant>
        <vt:i4>0</vt:i4>
      </vt:variant>
      <vt:variant>
        <vt:i4>5</vt:i4>
      </vt:variant>
      <vt:variant>
        <vt:lpwstr>https://www.ncbi.nlm.nih.gov/pmc/articles/PMC4144270/</vt:lpwstr>
      </vt:variant>
      <vt:variant>
        <vt:lpwstr>R237</vt:lpwstr>
      </vt:variant>
      <vt:variant>
        <vt:i4>1179649</vt:i4>
      </vt:variant>
      <vt:variant>
        <vt:i4>1083</vt:i4>
      </vt:variant>
      <vt:variant>
        <vt:i4>0</vt:i4>
      </vt:variant>
      <vt:variant>
        <vt:i4>5</vt:i4>
      </vt:variant>
      <vt:variant>
        <vt:lpwstr>https://www.ncbi.nlm.nih.gov/pmc/articles/PMC4144270/</vt:lpwstr>
      </vt:variant>
      <vt:variant>
        <vt:lpwstr>R236</vt:lpwstr>
      </vt:variant>
      <vt:variant>
        <vt:i4>1048577</vt:i4>
      </vt:variant>
      <vt:variant>
        <vt:i4>1080</vt:i4>
      </vt:variant>
      <vt:variant>
        <vt:i4>0</vt:i4>
      </vt:variant>
      <vt:variant>
        <vt:i4>5</vt:i4>
      </vt:variant>
      <vt:variant>
        <vt:lpwstr>https://www.ncbi.nlm.nih.gov/pmc/articles/PMC4144270/</vt:lpwstr>
      </vt:variant>
      <vt:variant>
        <vt:lpwstr>R234</vt:lpwstr>
      </vt:variant>
      <vt:variant>
        <vt:i4>1507329</vt:i4>
      </vt:variant>
      <vt:variant>
        <vt:i4>1077</vt:i4>
      </vt:variant>
      <vt:variant>
        <vt:i4>0</vt:i4>
      </vt:variant>
      <vt:variant>
        <vt:i4>5</vt:i4>
      </vt:variant>
      <vt:variant>
        <vt:lpwstr>https://www.ncbi.nlm.nih.gov/pmc/articles/PMC4144270/</vt:lpwstr>
      </vt:variant>
      <vt:variant>
        <vt:lpwstr>R233</vt:lpwstr>
      </vt:variant>
      <vt:variant>
        <vt:i4>1376257</vt:i4>
      </vt:variant>
      <vt:variant>
        <vt:i4>1074</vt:i4>
      </vt:variant>
      <vt:variant>
        <vt:i4>0</vt:i4>
      </vt:variant>
      <vt:variant>
        <vt:i4>5</vt:i4>
      </vt:variant>
      <vt:variant>
        <vt:lpwstr>https://www.ncbi.nlm.nih.gov/pmc/articles/PMC4144270/</vt:lpwstr>
      </vt:variant>
      <vt:variant>
        <vt:lpwstr>R231</vt:lpwstr>
      </vt:variant>
      <vt:variant>
        <vt:i4>1441793</vt:i4>
      </vt:variant>
      <vt:variant>
        <vt:i4>1071</vt:i4>
      </vt:variant>
      <vt:variant>
        <vt:i4>0</vt:i4>
      </vt:variant>
      <vt:variant>
        <vt:i4>5</vt:i4>
      </vt:variant>
      <vt:variant>
        <vt:lpwstr>https://www.ncbi.nlm.nih.gov/pmc/articles/PMC4144270/</vt:lpwstr>
      </vt:variant>
      <vt:variant>
        <vt:lpwstr>R232</vt:lpwstr>
      </vt:variant>
      <vt:variant>
        <vt:i4>1376257</vt:i4>
      </vt:variant>
      <vt:variant>
        <vt:i4>1068</vt:i4>
      </vt:variant>
      <vt:variant>
        <vt:i4>0</vt:i4>
      </vt:variant>
      <vt:variant>
        <vt:i4>5</vt:i4>
      </vt:variant>
      <vt:variant>
        <vt:lpwstr>https://www.ncbi.nlm.nih.gov/pmc/articles/PMC4144270/</vt:lpwstr>
      </vt:variant>
      <vt:variant>
        <vt:lpwstr>R231</vt:lpwstr>
      </vt:variant>
      <vt:variant>
        <vt:i4>1310721</vt:i4>
      </vt:variant>
      <vt:variant>
        <vt:i4>1065</vt:i4>
      </vt:variant>
      <vt:variant>
        <vt:i4>0</vt:i4>
      </vt:variant>
      <vt:variant>
        <vt:i4>5</vt:i4>
      </vt:variant>
      <vt:variant>
        <vt:lpwstr>https://www.ncbi.nlm.nih.gov/pmc/articles/PMC4144270/</vt:lpwstr>
      </vt:variant>
      <vt:variant>
        <vt:lpwstr>R230</vt:lpwstr>
      </vt:variant>
      <vt:variant>
        <vt:i4>1900544</vt:i4>
      </vt:variant>
      <vt:variant>
        <vt:i4>1062</vt:i4>
      </vt:variant>
      <vt:variant>
        <vt:i4>0</vt:i4>
      </vt:variant>
      <vt:variant>
        <vt:i4>5</vt:i4>
      </vt:variant>
      <vt:variant>
        <vt:lpwstr>https://www.ncbi.nlm.nih.gov/pmc/articles/PMC4144270/</vt:lpwstr>
      </vt:variant>
      <vt:variant>
        <vt:lpwstr>R229</vt:lpwstr>
      </vt:variant>
      <vt:variant>
        <vt:i4>1835008</vt:i4>
      </vt:variant>
      <vt:variant>
        <vt:i4>1059</vt:i4>
      </vt:variant>
      <vt:variant>
        <vt:i4>0</vt:i4>
      </vt:variant>
      <vt:variant>
        <vt:i4>5</vt:i4>
      </vt:variant>
      <vt:variant>
        <vt:lpwstr>https://www.ncbi.nlm.nih.gov/pmc/articles/PMC4144270/</vt:lpwstr>
      </vt:variant>
      <vt:variant>
        <vt:lpwstr>R228</vt:lpwstr>
      </vt:variant>
      <vt:variant>
        <vt:i4>1245184</vt:i4>
      </vt:variant>
      <vt:variant>
        <vt:i4>1056</vt:i4>
      </vt:variant>
      <vt:variant>
        <vt:i4>0</vt:i4>
      </vt:variant>
      <vt:variant>
        <vt:i4>5</vt:i4>
      </vt:variant>
      <vt:variant>
        <vt:lpwstr>https://www.ncbi.nlm.nih.gov/pmc/articles/PMC4144270/</vt:lpwstr>
      </vt:variant>
      <vt:variant>
        <vt:lpwstr>R227</vt:lpwstr>
      </vt:variant>
      <vt:variant>
        <vt:i4>1179648</vt:i4>
      </vt:variant>
      <vt:variant>
        <vt:i4>1053</vt:i4>
      </vt:variant>
      <vt:variant>
        <vt:i4>0</vt:i4>
      </vt:variant>
      <vt:variant>
        <vt:i4>5</vt:i4>
      </vt:variant>
      <vt:variant>
        <vt:lpwstr>https://www.ncbi.nlm.nih.gov/pmc/articles/PMC4144270/</vt:lpwstr>
      </vt:variant>
      <vt:variant>
        <vt:lpwstr>R226</vt:lpwstr>
      </vt:variant>
      <vt:variant>
        <vt:i4>1114112</vt:i4>
      </vt:variant>
      <vt:variant>
        <vt:i4>1050</vt:i4>
      </vt:variant>
      <vt:variant>
        <vt:i4>0</vt:i4>
      </vt:variant>
      <vt:variant>
        <vt:i4>5</vt:i4>
      </vt:variant>
      <vt:variant>
        <vt:lpwstr>https://www.ncbi.nlm.nih.gov/pmc/articles/PMC4144270/</vt:lpwstr>
      </vt:variant>
      <vt:variant>
        <vt:lpwstr>R225</vt:lpwstr>
      </vt:variant>
      <vt:variant>
        <vt:i4>1048576</vt:i4>
      </vt:variant>
      <vt:variant>
        <vt:i4>1047</vt:i4>
      </vt:variant>
      <vt:variant>
        <vt:i4>0</vt:i4>
      </vt:variant>
      <vt:variant>
        <vt:i4>5</vt:i4>
      </vt:variant>
      <vt:variant>
        <vt:lpwstr>https://www.ncbi.nlm.nih.gov/pmc/articles/PMC4144270/</vt:lpwstr>
      </vt:variant>
      <vt:variant>
        <vt:lpwstr>R224</vt:lpwstr>
      </vt:variant>
      <vt:variant>
        <vt:i4>1507328</vt:i4>
      </vt:variant>
      <vt:variant>
        <vt:i4>1044</vt:i4>
      </vt:variant>
      <vt:variant>
        <vt:i4>0</vt:i4>
      </vt:variant>
      <vt:variant>
        <vt:i4>5</vt:i4>
      </vt:variant>
      <vt:variant>
        <vt:lpwstr>https://www.ncbi.nlm.nih.gov/pmc/articles/PMC4144270/</vt:lpwstr>
      </vt:variant>
      <vt:variant>
        <vt:lpwstr>R223</vt:lpwstr>
      </vt:variant>
      <vt:variant>
        <vt:i4>1441792</vt:i4>
      </vt:variant>
      <vt:variant>
        <vt:i4>1041</vt:i4>
      </vt:variant>
      <vt:variant>
        <vt:i4>0</vt:i4>
      </vt:variant>
      <vt:variant>
        <vt:i4>5</vt:i4>
      </vt:variant>
      <vt:variant>
        <vt:lpwstr>https://www.ncbi.nlm.nih.gov/pmc/articles/PMC4144270/</vt:lpwstr>
      </vt:variant>
      <vt:variant>
        <vt:lpwstr>R222</vt:lpwstr>
      </vt:variant>
      <vt:variant>
        <vt:i4>1376256</vt:i4>
      </vt:variant>
      <vt:variant>
        <vt:i4>1038</vt:i4>
      </vt:variant>
      <vt:variant>
        <vt:i4>0</vt:i4>
      </vt:variant>
      <vt:variant>
        <vt:i4>5</vt:i4>
      </vt:variant>
      <vt:variant>
        <vt:lpwstr>https://www.ncbi.nlm.nih.gov/pmc/articles/PMC4144270/</vt:lpwstr>
      </vt:variant>
      <vt:variant>
        <vt:lpwstr>R221</vt:lpwstr>
      </vt:variant>
      <vt:variant>
        <vt:i4>1310720</vt:i4>
      </vt:variant>
      <vt:variant>
        <vt:i4>1035</vt:i4>
      </vt:variant>
      <vt:variant>
        <vt:i4>0</vt:i4>
      </vt:variant>
      <vt:variant>
        <vt:i4>5</vt:i4>
      </vt:variant>
      <vt:variant>
        <vt:lpwstr>https://www.ncbi.nlm.nih.gov/pmc/articles/PMC4144270/</vt:lpwstr>
      </vt:variant>
      <vt:variant>
        <vt:lpwstr>R220</vt:lpwstr>
      </vt:variant>
      <vt:variant>
        <vt:i4>1507331</vt:i4>
      </vt:variant>
      <vt:variant>
        <vt:i4>1032</vt:i4>
      </vt:variant>
      <vt:variant>
        <vt:i4>0</vt:i4>
      </vt:variant>
      <vt:variant>
        <vt:i4>5</vt:i4>
      </vt:variant>
      <vt:variant>
        <vt:lpwstr>https://www.ncbi.nlm.nih.gov/pmc/articles/PMC4144270/</vt:lpwstr>
      </vt:variant>
      <vt:variant>
        <vt:lpwstr>R213</vt:lpwstr>
      </vt:variant>
      <vt:variant>
        <vt:i4>1900547</vt:i4>
      </vt:variant>
      <vt:variant>
        <vt:i4>1029</vt:i4>
      </vt:variant>
      <vt:variant>
        <vt:i4>0</vt:i4>
      </vt:variant>
      <vt:variant>
        <vt:i4>5</vt:i4>
      </vt:variant>
      <vt:variant>
        <vt:lpwstr>https://www.ncbi.nlm.nih.gov/pmc/articles/PMC4144270/</vt:lpwstr>
      </vt:variant>
      <vt:variant>
        <vt:lpwstr>R219</vt:lpwstr>
      </vt:variant>
      <vt:variant>
        <vt:i4>1835011</vt:i4>
      </vt:variant>
      <vt:variant>
        <vt:i4>1026</vt:i4>
      </vt:variant>
      <vt:variant>
        <vt:i4>0</vt:i4>
      </vt:variant>
      <vt:variant>
        <vt:i4>5</vt:i4>
      </vt:variant>
      <vt:variant>
        <vt:lpwstr>https://www.ncbi.nlm.nih.gov/pmc/articles/PMC4144270/</vt:lpwstr>
      </vt:variant>
      <vt:variant>
        <vt:lpwstr>R218</vt:lpwstr>
      </vt:variant>
      <vt:variant>
        <vt:i4>1245187</vt:i4>
      </vt:variant>
      <vt:variant>
        <vt:i4>1023</vt:i4>
      </vt:variant>
      <vt:variant>
        <vt:i4>0</vt:i4>
      </vt:variant>
      <vt:variant>
        <vt:i4>5</vt:i4>
      </vt:variant>
      <vt:variant>
        <vt:lpwstr>https://www.ncbi.nlm.nih.gov/pmc/articles/PMC4144270/</vt:lpwstr>
      </vt:variant>
      <vt:variant>
        <vt:lpwstr>R217</vt:lpwstr>
      </vt:variant>
      <vt:variant>
        <vt:i4>1179651</vt:i4>
      </vt:variant>
      <vt:variant>
        <vt:i4>1020</vt:i4>
      </vt:variant>
      <vt:variant>
        <vt:i4>0</vt:i4>
      </vt:variant>
      <vt:variant>
        <vt:i4>5</vt:i4>
      </vt:variant>
      <vt:variant>
        <vt:lpwstr>https://www.ncbi.nlm.nih.gov/pmc/articles/PMC4144270/</vt:lpwstr>
      </vt:variant>
      <vt:variant>
        <vt:lpwstr>R216</vt:lpwstr>
      </vt:variant>
      <vt:variant>
        <vt:i4>1114115</vt:i4>
      </vt:variant>
      <vt:variant>
        <vt:i4>1017</vt:i4>
      </vt:variant>
      <vt:variant>
        <vt:i4>0</vt:i4>
      </vt:variant>
      <vt:variant>
        <vt:i4>5</vt:i4>
      </vt:variant>
      <vt:variant>
        <vt:lpwstr>https://www.ncbi.nlm.nih.gov/pmc/articles/PMC4144270/</vt:lpwstr>
      </vt:variant>
      <vt:variant>
        <vt:lpwstr>R215</vt:lpwstr>
      </vt:variant>
      <vt:variant>
        <vt:i4>1048579</vt:i4>
      </vt:variant>
      <vt:variant>
        <vt:i4>1014</vt:i4>
      </vt:variant>
      <vt:variant>
        <vt:i4>0</vt:i4>
      </vt:variant>
      <vt:variant>
        <vt:i4>5</vt:i4>
      </vt:variant>
      <vt:variant>
        <vt:lpwstr>https://www.ncbi.nlm.nih.gov/pmc/articles/PMC4144270/</vt:lpwstr>
      </vt:variant>
      <vt:variant>
        <vt:lpwstr>R214</vt:lpwstr>
      </vt:variant>
      <vt:variant>
        <vt:i4>1507331</vt:i4>
      </vt:variant>
      <vt:variant>
        <vt:i4>1011</vt:i4>
      </vt:variant>
      <vt:variant>
        <vt:i4>0</vt:i4>
      </vt:variant>
      <vt:variant>
        <vt:i4>5</vt:i4>
      </vt:variant>
      <vt:variant>
        <vt:lpwstr>https://www.ncbi.nlm.nih.gov/pmc/articles/PMC4144270/</vt:lpwstr>
      </vt:variant>
      <vt:variant>
        <vt:lpwstr>R213</vt:lpwstr>
      </vt:variant>
      <vt:variant>
        <vt:i4>1441795</vt:i4>
      </vt:variant>
      <vt:variant>
        <vt:i4>1008</vt:i4>
      </vt:variant>
      <vt:variant>
        <vt:i4>0</vt:i4>
      </vt:variant>
      <vt:variant>
        <vt:i4>5</vt:i4>
      </vt:variant>
      <vt:variant>
        <vt:lpwstr>https://www.ncbi.nlm.nih.gov/pmc/articles/PMC4144270/</vt:lpwstr>
      </vt:variant>
      <vt:variant>
        <vt:lpwstr>R212</vt:lpwstr>
      </vt:variant>
      <vt:variant>
        <vt:i4>1376259</vt:i4>
      </vt:variant>
      <vt:variant>
        <vt:i4>1005</vt:i4>
      </vt:variant>
      <vt:variant>
        <vt:i4>0</vt:i4>
      </vt:variant>
      <vt:variant>
        <vt:i4>5</vt:i4>
      </vt:variant>
      <vt:variant>
        <vt:lpwstr>https://www.ncbi.nlm.nih.gov/pmc/articles/PMC4144270/</vt:lpwstr>
      </vt:variant>
      <vt:variant>
        <vt:lpwstr>R211</vt:lpwstr>
      </vt:variant>
      <vt:variant>
        <vt:i4>1310723</vt:i4>
      </vt:variant>
      <vt:variant>
        <vt:i4>1002</vt:i4>
      </vt:variant>
      <vt:variant>
        <vt:i4>0</vt:i4>
      </vt:variant>
      <vt:variant>
        <vt:i4>5</vt:i4>
      </vt:variant>
      <vt:variant>
        <vt:lpwstr>https://www.ncbi.nlm.nih.gov/pmc/articles/PMC4144270/</vt:lpwstr>
      </vt:variant>
      <vt:variant>
        <vt:lpwstr>R210</vt:lpwstr>
      </vt:variant>
      <vt:variant>
        <vt:i4>1900546</vt:i4>
      </vt:variant>
      <vt:variant>
        <vt:i4>999</vt:i4>
      </vt:variant>
      <vt:variant>
        <vt:i4>0</vt:i4>
      </vt:variant>
      <vt:variant>
        <vt:i4>5</vt:i4>
      </vt:variant>
      <vt:variant>
        <vt:lpwstr>https://www.ncbi.nlm.nih.gov/pmc/articles/PMC4144270/</vt:lpwstr>
      </vt:variant>
      <vt:variant>
        <vt:lpwstr>R209</vt:lpwstr>
      </vt:variant>
      <vt:variant>
        <vt:i4>1835010</vt:i4>
      </vt:variant>
      <vt:variant>
        <vt:i4>996</vt:i4>
      </vt:variant>
      <vt:variant>
        <vt:i4>0</vt:i4>
      </vt:variant>
      <vt:variant>
        <vt:i4>5</vt:i4>
      </vt:variant>
      <vt:variant>
        <vt:lpwstr>https://www.ncbi.nlm.nih.gov/pmc/articles/PMC4144270/</vt:lpwstr>
      </vt:variant>
      <vt:variant>
        <vt:lpwstr>R208</vt:lpwstr>
      </vt:variant>
      <vt:variant>
        <vt:i4>1245186</vt:i4>
      </vt:variant>
      <vt:variant>
        <vt:i4>993</vt:i4>
      </vt:variant>
      <vt:variant>
        <vt:i4>0</vt:i4>
      </vt:variant>
      <vt:variant>
        <vt:i4>5</vt:i4>
      </vt:variant>
      <vt:variant>
        <vt:lpwstr>https://www.ncbi.nlm.nih.gov/pmc/articles/PMC4144270/</vt:lpwstr>
      </vt:variant>
      <vt:variant>
        <vt:lpwstr>R207</vt:lpwstr>
      </vt:variant>
      <vt:variant>
        <vt:i4>1179650</vt:i4>
      </vt:variant>
      <vt:variant>
        <vt:i4>990</vt:i4>
      </vt:variant>
      <vt:variant>
        <vt:i4>0</vt:i4>
      </vt:variant>
      <vt:variant>
        <vt:i4>5</vt:i4>
      </vt:variant>
      <vt:variant>
        <vt:lpwstr>https://www.ncbi.nlm.nih.gov/pmc/articles/PMC4144270/</vt:lpwstr>
      </vt:variant>
      <vt:variant>
        <vt:lpwstr>R206</vt:lpwstr>
      </vt:variant>
      <vt:variant>
        <vt:i4>1114114</vt:i4>
      </vt:variant>
      <vt:variant>
        <vt:i4>987</vt:i4>
      </vt:variant>
      <vt:variant>
        <vt:i4>0</vt:i4>
      </vt:variant>
      <vt:variant>
        <vt:i4>5</vt:i4>
      </vt:variant>
      <vt:variant>
        <vt:lpwstr>https://www.ncbi.nlm.nih.gov/pmc/articles/PMC4144270/</vt:lpwstr>
      </vt:variant>
      <vt:variant>
        <vt:lpwstr>R205</vt:lpwstr>
      </vt:variant>
      <vt:variant>
        <vt:i4>1114114</vt:i4>
      </vt:variant>
      <vt:variant>
        <vt:i4>984</vt:i4>
      </vt:variant>
      <vt:variant>
        <vt:i4>0</vt:i4>
      </vt:variant>
      <vt:variant>
        <vt:i4>5</vt:i4>
      </vt:variant>
      <vt:variant>
        <vt:lpwstr>https://www.ncbi.nlm.nih.gov/pmc/articles/PMC4144270/</vt:lpwstr>
      </vt:variant>
      <vt:variant>
        <vt:lpwstr>R205</vt:lpwstr>
      </vt:variant>
      <vt:variant>
        <vt:i4>1048578</vt:i4>
      </vt:variant>
      <vt:variant>
        <vt:i4>981</vt:i4>
      </vt:variant>
      <vt:variant>
        <vt:i4>0</vt:i4>
      </vt:variant>
      <vt:variant>
        <vt:i4>5</vt:i4>
      </vt:variant>
      <vt:variant>
        <vt:lpwstr>https://www.ncbi.nlm.nih.gov/pmc/articles/PMC4144270/</vt:lpwstr>
      </vt:variant>
      <vt:variant>
        <vt:lpwstr>R204</vt:lpwstr>
      </vt:variant>
      <vt:variant>
        <vt:i4>1507330</vt:i4>
      </vt:variant>
      <vt:variant>
        <vt:i4>978</vt:i4>
      </vt:variant>
      <vt:variant>
        <vt:i4>0</vt:i4>
      </vt:variant>
      <vt:variant>
        <vt:i4>5</vt:i4>
      </vt:variant>
      <vt:variant>
        <vt:lpwstr>https://www.ncbi.nlm.nih.gov/pmc/articles/PMC4144270/</vt:lpwstr>
      </vt:variant>
      <vt:variant>
        <vt:lpwstr>R203</vt:lpwstr>
      </vt:variant>
      <vt:variant>
        <vt:i4>1441794</vt:i4>
      </vt:variant>
      <vt:variant>
        <vt:i4>975</vt:i4>
      </vt:variant>
      <vt:variant>
        <vt:i4>0</vt:i4>
      </vt:variant>
      <vt:variant>
        <vt:i4>5</vt:i4>
      </vt:variant>
      <vt:variant>
        <vt:lpwstr>https://www.ncbi.nlm.nih.gov/pmc/articles/PMC4144270/</vt:lpwstr>
      </vt:variant>
      <vt:variant>
        <vt:lpwstr>R202</vt:lpwstr>
      </vt:variant>
      <vt:variant>
        <vt:i4>1376258</vt:i4>
      </vt:variant>
      <vt:variant>
        <vt:i4>972</vt:i4>
      </vt:variant>
      <vt:variant>
        <vt:i4>0</vt:i4>
      </vt:variant>
      <vt:variant>
        <vt:i4>5</vt:i4>
      </vt:variant>
      <vt:variant>
        <vt:lpwstr>https://www.ncbi.nlm.nih.gov/pmc/articles/PMC4144270/</vt:lpwstr>
      </vt:variant>
      <vt:variant>
        <vt:lpwstr>R201</vt:lpwstr>
      </vt:variant>
      <vt:variant>
        <vt:i4>1310722</vt:i4>
      </vt:variant>
      <vt:variant>
        <vt:i4>969</vt:i4>
      </vt:variant>
      <vt:variant>
        <vt:i4>0</vt:i4>
      </vt:variant>
      <vt:variant>
        <vt:i4>5</vt:i4>
      </vt:variant>
      <vt:variant>
        <vt:lpwstr>https://www.ncbi.nlm.nih.gov/pmc/articles/PMC4144270/</vt:lpwstr>
      </vt:variant>
      <vt:variant>
        <vt:lpwstr>R200</vt:lpwstr>
      </vt:variant>
      <vt:variant>
        <vt:i4>1966091</vt:i4>
      </vt:variant>
      <vt:variant>
        <vt:i4>966</vt:i4>
      </vt:variant>
      <vt:variant>
        <vt:i4>0</vt:i4>
      </vt:variant>
      <vt:variant>
        <vt:i4>5</vt:i4>
      </vt:variant>
      <vt:variant>
        <vt:lpwstr>https://www.ncbi.nlm.nih.gov/pmc/articles/PMC4144270/</vt:lpwstr>
      </vt:variant>
      <vt:variant>
        <vt:lpwstr>R199</vt:lpwstr>
      </vt:variant>
      <vt:variant>
        <vt:i4>2031627</vt:i4>
      </vt:variant>
      <vt:variant>
        <vt:i4>963</vt:i4>
      </vt:variant>
      <vt:variant>
        <vt:i4>0</vt:i4>
      </vt:variant>
      <vt:variant>
        <vt:i4>5</vt:i4>
      </vt:variant>
      <vt:variant>
        <vt:lpwstr>https://www.ncbi.nlm.nih.gov/pmc/articles/PMC4144270/</vt:lpwstr>
      </vt:variant>
      <vt:variant>
        <vt:lpwstr>R198</vt:lpwstr>
      </vt:variant>
      <vt:variant>
        <vt:i4>1048587</vt:i4>
      </vt:variant>
      <vt:variant>
        <vt:i4>960</vt:i4>
      </vt:variant>
      <vt:variant>
        <vt:i4>0</vt:i4>
      </vt:variant>
      <vt:variant>
        <vt:i4>5</vt:i4>
      </vt:variant>
      <vt:variant>
        <vt:lpwstr>https://www.ncbi.nlm.nih.gov/pmc/articles/PMC4144270/</vt:lpwstr>
      </vt:variant>
      <vt:variant>
        <vt:lpwstr>R197</vt:lpwstr>
      </vt:variant>
      <vt:variant>
        <vt:i4>1245195</vt:i4>
      </vt:variant>
      <vt:variant>
        <vt:i4>957</vt:i4>
      </vt:variant>
      <vt:variant>
        <vt:i4>0</vt:i4>
      </vt:variant>
      <vt:variant>
        <vt:i4>5</vt:i4>
      </vt:variant>
      <vt:variant>
        <vt:lpwstr>https://www.ncbi.nlm.nih.gov/pmc/articles/PMC4144270/</vt:lpwstr>
      </vt:variant>
      <vt:variant>
        <vt:lpwstr>R194</vt:lpwstr>
      </vt:variant>
      <vt:variant>
        <vt:i4>1114123</vt:i4>
      </vt:variant>
      <vt:variant>
        <vt:i4>954</vt:i4>
      </vt:variant>
      <vt:variant>
        <vt:i4>0</vt:i4>
      </vt:variant>
      <vt:variant>
        <vt:i4>5</vt:i4>
      </vt:variant>
      <vt:variant>
        <vt:lpwstr>https://www.ncbi.nlm.nih.gov/pmc/articles/PMC4144270/</vt:lpwstr>
      </vt:variant>
      <vt:variant>
        <vt:lpwstr>R196</vt:lpwstr>
      </vt:variant>
      <vt:variant>
        <vt:i4>1179659</vt:i4>
      </vt:variant>
      <vt:variant>
        <vt:i4>951</vt:i4>
      </vt:variant>
      <vt:variant>
        <vt:i4>0</vt:i4>
      </vt:variant>
      <vt:variant>
        <vt:i4>5</vt:i4>
      </vt:variant>
      <vt:variant>
        <vt:lpwstr>https://www.ncbi.nlm.nih.gov/pmc/articles/PMC4144270/</vt:lpwstr>
      </vt:variant>
      <vt:variant>
        <vt:lpwstr>R195</vt:lpwstr>
      </vt:variant>
      <vt:variant>
        <vt:i4>1245195</vt:i4>
      </vt:variant>
      <vt:variant>
        <vt:i4>948</vt:i4>
      </vt:variant>
      <vt:variant>
        <vt:i4>0</vt:i4>
      </vt:variant>
      <vt:variant>
        <vt:i4>5</vt:i4>
      </vt:variant>
      <vt:variant>
        <vt:lpwstr>https://www.ncbi.nlm.nih.gov/pmc/articles/PMC4144270/</vt:lpwstr>
      </vt:variant>
      <vt:variant>
        <vt:lpwstr>R194</vt:lpwstr>
      </vt:variant>
      <vt:variant>
        <vt:i4>1310731</vt:i4>
      </vt:variant>
      <vt:variant>
        <vt:i4>945</vt:i4>
      </vt:variant>
      <vt:variant>
        <vt:i4>0</vt:i4>
      </vt:variant>
      <vt:variant>
        <vt:i4>5</vt:i4>
      </vt:variant>
      <vt:variant>
        <vt:lpwstr>https://www.ncbi.nlm.nih.gov/pmc/articles/PMC4144270/</vt:lpwstr>
      </vt:variant>
      <vt:variant>
        <vt:lpwstr>R193</vt:lpwstr>
      </vt:variant>
      <vt:variant>
        <vt:i4>2359346</vt:i4>
      </vt:variant>
      <vt:variant>
        <vt:i4>942</vt:i4>
      </vt:variant>
      <vt:variant>
        <vt:i4>0</vt:i4>
      </vt:variant>
      <vt:variant>
        <vt:i4>5</vt:i4>
      </vt:variant>
      <vt:variant>
        <vt:lpwstr>https://www.ncbi.nlm.nih.gov/pmc/articles/PMC4144270/</vt:lpwstr>
      </vt:variant>
      <vt:variant>
        <vt:lpwstr>R29</vt:lpwstr>
      </vt:variant>
      <vt:variant>
        <vt:i4>2424882</vt:i4>
      </vt:variant>
      <vt:variant>
        <vt:i4>939</vt:i4>
      </vt:variant>
      <vt:variant>
        <vt:i4>0</vt:i4>
      </vt:variant>
      <vt:variant>
        <vt:i4>5</vt:i4>
      </vt:variant>
      <vt:variant>
        <vt:lpwstr>https://www.ncbi.nlm.nih.gov/pmc/articles/PMC4144270/</vt:lpwstr>
      </vt:variant>
      <vt:variant>
        <vt:lpwstr>R30</vt:lpwstr>
      </vt:variant>
      <vt:variant>
        <vt:i4>1376267</vt:i4>
      </vt:variant>
      <vt:variant>
        <vt:i4>936</vt:i4>
      </vt:variant>
      <vt:variant>
        <vt:i4>0</vt:i4>
      </vt:variant>
      <vt:variant>
        <vt:i4>5</vt:i4>
      </vt:variant>
      <vt:variant>
        <vt:lpwstr>https://www.ncbi.nlm.nih.gov/pmc/articles/PMC4144270/</vt:lpwstr>
      </vt:variant>
      <vt:variant>
        <vt:lpwstr>R192</vt:lpwstr>
      </vt:variant>
      <vt:variant>
        <vt:i4>2359346</vt:i4>
      </vt:variant>
      <vt:variant>
        <vt:i4>933</vt:i4>
      </vt:variant>
      <vt:variant>
        <vt:i4>0</vt:i4>
      </vt:variant>
      <vt:variant>
        <vt:i4>5</vt:i4>
      </vt:variant>
      <vt:variant>
        <vt:lpwstr>https://www.ncbi.nlm.nih.gov/pmc/articles/PMC4144270/</vt:lpwstr>
      </vt:variant>
      <vt:variant>
        <vt:lpwstr>R29</vt:lpwstr>
      </vt:variant>
      <vt:variant>
        <vt:i4>1441803</vt:i4>
      </vt:variant>
      <vt:variant>
        <vt:i4>930</vt:i4>
      </vt:variant>
      <vt:variant>
        <vt:i4>0</vt:i4>
      </vt:variant>
      <vt:variant>
        <vt:i4>5</vt:i4>
      </vt:variant>
      <vt:variant>
        <vt:lpwstr>https://www.ncbi.nlm.nih.gov/pmc/articles/PMC4144270/</vt:lpwstr>
      </vt:variant>
      <vt:variant>
        <vt:lpwstr>R191</vt:lpwstr>
      </vt:variant>
      <vt:variant>
        <vt:i4>1507339</vt:i4>
      </vt:variant>
      <vt:variant>
        <vt:i4>927</vt:i4>
      </vt:variant>
      <vt:variant>
        <vt:i4>0</vt:i4>
      </vt:variant>
      <vt:variant>
        <vt:i4>5</vt:i4>
      </vt:variant>
      <vt:variant>
        <vt:lpwstr>https://www.ncbi.nlm.nih.gov/pmc/articles/PMC4144270/</vt:lpwstr>
      </vt:variant>
      <vt:variant>
        <vt:lpwstr>R190</vt:lpwstr>
      </vt:variant>
      <vt:variant>
        <vt:i4>1966090</vt:i4>
      </vt:variant>
      <vt:variant>
        <vt:i4>924</vt:i4>
      </vt:variant>
      <vt:variant>
        <vt:i4>0</vt:i4>
      </vt:variant>
      <vt:variant>
        <vt:i4>5</vt:i4>
      </vt:variant>
      <vt:variant>
        <vt:lpwstr>https://www.ncbi.nlm.nih.gov/pmc/articles/PMC4144270/</vt:lpwstr>
      </vt:variant>
      <vt:variant>
        <vt:lpwstr>R189</vt:lpwstr>
      </vt:variant>
      <vt:variant>
        <vt:i4>2031626</vt:i4>
      </vt:variant>
      <vt:variant>
        <vt:i4>921</vt:i4>
      </vt:variant>
      <vt:variant>
        <vt:i4>0</vt:i4>
      </vt:variant>
      <vt:variant>
        <vt:i4>5</vt:i4>
      </vt:variant>
      <vt:variant>
        <vt:lpwstr>https://www.ncbi.nlm.nih.gov/pmc/articles/PMC4144270/</vt:lpwstr>
      </vt:variant>
      <vt:variant>
        <vt:lpwstr>R188</vt:lpwstr>
      </vt:variant>
      <vt:variant>
        <vt:i4>1310725</vt:i4>
      </vt:variant>
      <vt:variant>
        <vt:i4>918</vt:i4>
      </vt:variant>
      <vt:variant>
        <vt:i4>0</vt:i4>
      </vt:variant>
      <vt:variant>
        <vt:i4>5</vt:i4>
      </vt:variant>
      <vt:variant>
        <vt:lpwstr>https://www.ncbi.nlm.nih.gov/pmc/articles/PMC4144270/</vt:lpwstr>
      </vt:variant>
      <vt:variant>
        <vt:lpwstr>R173</vt:lpwstr>
      </vt:variant>
      <vt:variant>
        <vt:i4>1048586</vt:i4>
      </vt:variant>
      <vt:variant>
        <vt:i4>915</vt:i4>
      </vt:variant>
      <vt:variant>
        <vt:i4>0</vt:i4>
      </vt:variant>
      <vt:variant>
        <vt:i4>5</vt:i4>
      </vt:variant>
      <vt:variant>
        <vt:lpwstr>https://www.ncbi.nlm.nih.gov/pmc/articles/PMC4144270/</vt:lpwstr>
      </vt:variant>
      <vt:variant>
        <vt:lpwstr>R187</vt:lpwstr>
      </vt:variant>
      <vt:variant>
        <vt:i4>1245194</vt:i4>
      </vt:variant>
      <vt:variant>
        <vt:i4>912</vt:i4>
      </vt:variant>
      <vt:variant>
        <vt:i4>0</vt:i4>
      </vt:variant>
      <vt:variant>
        <vt:i4>5</vt:i4>
      </vt:variant>
      <vt:variant>
        <vt:lpwstr>https://www.ncbi.nlm.nih.gov/pmc/articles/PMC4144270/</vt:lpwstr>
      </vt:variant>
      <vt:variant>
        <vt:lpwstr>R184</vt:lpwstr>
      </vt:variant>
      <vt:variant>
        <vt:i4>1966085</vt:i4>
      </vt:variant>
      <vt:variant>
        <vt:i4>909</vt:i4>
      </vt:variant>
      <vt:variant>
        <vt:i4>0</vt:i4>
      </vt:variant>
      <vt:variant>
        <vt:i4>5</vt:i4>
      </vt:variant>
      <vt:variant>
        <vt:lpwstr>https://www.ncbi.nlm.nih.gov/pmc/articles/PMC4144270/</vt:lpwstr>
      </vt:variant>
      <vt:variant>
        <vt:lpwstr>R179</vt:lpwstr>
      </vt:variant>
      <vt:variant>
        <vt:i4>2031621</vt:i4>
      </vt:variant>
      <vt:variant>
        <vt:i4>906</vt:i4>
      </vt:variant>
      <vt:variant>
        <vt:i4>0</vt:i4>
      </vt:variant>
      <vt:variant>
        <vt:i4>5</vt:i4>
      </vt:variant>
      <vt:variant>
        <vt:lpwstr>https://www.ncbi.nlm.nih.gov/pmc/articles/PMC4144270/</vt:lpwstr>
      </vt:variant>
      <vt:variant>
        <vt:lpwstr>R178</vt:lpwstr>
      </vt:variant>
      <vt:variant>
        <vt:i4>1245189</vt:i4>
      </vt:variant>
      <vt:variant>
        <vt:i4>903</vt:i4>
      </vt:variant>
      <vt:variant>
        <vt:i4>0</vt:i4>
      </vt:variant>
      <vt:variant>
        <vt:i4>5</vt:i4>
      </vt:variant>
      <vt:variant>
        <vt:lpwstr>https://www.ncbi.nlm.nih.gov/pmc/articles/PMC4144270/</vt:lpwstr>
      </vt:variant>
      <vt:variant>
        <vt:lpwstr>R174</vt:lpwstr>
      </vt:variant>
      <vt:variant>
        <vt:i4>1310725</vt:i4>
      </vt:variant>
      <vt:variant>
        <vt:i4>900</vt:i4>
      </vt:variant>
      <vt:variant>
        <vt:i4>0</vt:i4>
      </vt:variant>
      <vt:variant>
        <vt:i4>5</vt:i4>
      </vt:variant>
      <vt:variant>
        <vt:lpwstr>https://www.ncbi.nlm.nih.gov/pmc/articles/PMC4144270/</vt:lpwstr>
      </vt:variant>
      <vt:variant>
        <vt:lpwstr>R173</vt:lpwstr>
      </vt:variant>
      <vt:variant>
        <vt:i4>1048586</vt:i4>
      </vt:variant>
      <vt:variant>
        <vt:i4>897</vt:i4>
      </vt:variant>
      <vt:variant>
        <vt:i4>0</vt:i4>
      </vt:variant>
      <vt:variant>
        <vt:i4>5</vt:i4>
      </vt:variant>
      <vt:variant>
        <vt:lpwstr>https://www.ncbi.nlm.nih.gov/pmc/articles/PMC4144270/</vt:lpwstr>
      </vt:variant>
      <vt:variant>
        <vt:lpwstr>R187</vt:lpwstr>
      </vt:variant>
      <vt:variant>
        <vt:i4>1114122</vt:i4>
      </vt:variant>
      <vt:variant>
        <vt:i4>894</vt:i4>
      </vt:variant>
      <vt:variant>
        <vt:i4>0</vt:i4>
      </vt:variant>
      <vt:variant>
        <vt:i4>5</vt:i4>
      </vt:variant>
      <vt:variant>
        <vt:lpwstr>https://www.ncbi.nlm.nih.gov/pmc/articles/PMC4144270/</vt:lpwstr>
      </vt:variant>
      <vt:variant>
        <vt:lpwstr>R186</vt:lpwstr>
      </vt:variant>
      <vt:variant>
        <vt:i4>1179658</vt:i4>
      </vt:variant>
      <vt:variant>
        <vt:i4>891</vt:i4>
      </vt:variant>
      <vt:variant>
        <vt:i4>0</vt:i4>
      </vt:variant>
      <vt:variant>
        <vt:i4>5</vt:i4>
      </vt:variant>
      <vt:variant>
        <vt:lpwstr>https://www.ncbi.nlm.nih.gov/pmc/articles/PMC4144270/</vt:lpwstr>
      </vt:variant>
      <vt:variant>
        <vt:lpwstr>R185</vt:lpwstr>
      </vt:variant>
      <vt:variant>
        <vt:i4>1245194</vt:i4>
      </vt:variant>
      <vt:variant>
        <vt:i4>888</vt:i4>
      </vt:variant>
      <vt:variant>
        <vt:i4>0</vt:i4>
      </vt:variant>
      <vt:variant>
        <vt:i4>5</vt:i4>
      </vt:variant>
      <vt:variant>
        <vt:lpwstr>https://www.ncbi.nlm.nih.gov/pmc/articles/PMC4144270/</vt:lpwstr>
      </vt:variant>
      <vt:variant>
        <vt:lpwstr>R184</vt:lpwstr>
      </vt:variant>
      <vt:variant>
        <vt:i4>1966085</vt:i4>
      </vt:variant>
      <vt:variant>
        <vt:i4>885</vt:i4>
      </vt:variant>
      <vt:variant>
        <vt:i4>0</vt:i4>
      </vt:variant>
      <vt:variant>
        <vt:i4>5</vt:i4>
      </vt:variant>
      <vt:variant>
        <vt:lpwstr>https://www.ncbi.nlm.nih.gov/pmc/articles/PMC4144270/</vt:lpwstr>
      </vt:variant>
      <vt:variant>
        <vt:lpwstr>R179</vt:lpwstr>
      </vt:variant>
      <vt:variant>
        <vt:i4>2031621</vt:i4>
      </vt:variant>
      <vt:variant>
        <vt:i4>882</vt:i4>
      </vt:variant>
      <vt:variant>
        <vt:i4>0</vt:i4>
      </vt:variant>
      <vt:variant>
        <vt:i4>5</vt:i4>
      </vt:variant>
      <vt:variant>
        <vt:lpwstr>https://www.ncbi.nlm.nih.gov/pmc/articles/PMC4144270/</vt:lpwstr>
      </vt:variant>
      <vt:variant>
        <vt:lpwstr>R178</vt:lpwstr>
      </vt:variant>
      <vt:variant>
        <vt:i4>1310730</vt:i4>
      </vt:variant>
      <vt:variant>
        <vt:i4>879</vt:i4>
      </vt:variant>
      <vt:variant>
        <vt:i4>0</vt:i4>
      </vt:variant>
      <vt:variant>
        <vt:i4>5</vt:i4>
      </vt:variant>
      <vt:variant>
        <vt:lpwstr>https://www.ncbi.nlm.nih.gov/pmc/articles/PMC4144270/</vt:lpwstr>
      </vt:variant>
      <vt:variant>
        <vt:lpwstr>R183</vt:lpwstr>
      </vt:variant>
      <vt:variant>
        <vt:i4>1376266</vt:i4>
      </vt:variant>
      <vt:variant>
        <vt:i4>876</vt:i4>
      </vt:variant>
      <vt:variant>
        <vt:i4>0</vt:i4>
      </vt:variant>
      <vt:variant>
        <vt:i4>5</vt:i4>
      </vt:variant>
      <vt:variant>
        <vt:lpwstr>https://www.ncbi.nlm.nih.gov/pmc/articles/PMC4144270/</vt:lpwstr>
      </vt:variant>
      <vt:variant>
        <vt:lpwstr>R182</vt:lpwstr>
      </vt:variant>
      <vt:variant>
        <vt:i4>1441802</vt:i4>
      </vt:variant>
      <vt:variant>
        <vt:i4>873</vt:i4>
      </vt:variant>
      <vt:variant>
        <vt:i4>0</vt:i4>
      </vt:variant>
      <vt:variant>
        <vt:i4>5</vt:i4>
      </vt:variant>
      <vt:variant>
        <vt:lpwstr>https://www.ncbi.nlm.nih.gov/pmc/articles/PMC4144270/</vt:lpwstr>
      </vt:variant>
      <vt:variant>
        <vt:lpwstr>R181</vt:lpwstr>
      </vt:variant>
      <vt:variant>
        <vt:i4>1507338</vt:i4>
      </vt:variant>
      <vt:variant>
        <vt:i4>870</vt:i4>
      </vt:variant>
      <vt:variant>
        <vt:i4>0</vt:i4>
      </vt:variant>
      <vt:variant>
        <vt:i4>5</vt:i4>
      </vt:variant>
      <vt:variant>
        <vt:lpwstr>https://www.ncbi.nlm.nih.gov/pmc/articles/PMC4144270/</vt:lpwstr>
      </vt:variant>
      <vt:variant>
        <vt:lpwstr>R180</vt:lpwstr>
      </vt:variant>
      <vt:variant>
        <vt:i4>1966085</vt:i4>
      </vt:variant>
      <vt:variant>
        <vt:i4>867</vt:i4>
      </vt:variant>
      <vt:variant>
        <vt:i4>0</vt:i4>
      </vt:variant>
      <vt:variant>
        <vt:i4>5</vt:i4>
      </vt:variant>
      <vt:variant>
        <vt:lpwstr>https://www.ncbi.nlm.nih.gov/pmc/articles/PMC4144270/</vt:lpwstr>
      </vt:variant>
      <vt:variant>
        <vt:lpwstr>R179</vt:lpwstr>
      </vt:variant>
      <vt:variant>
        <vt:i4>1114117</vt:i4>
      </vt:variant>
      <vt:variant>
        <vt:i4>864</vt:i4>
      </vt:variant>
      <vt:variant>
        <vt:i4>0</vt:i4>
      </vt:variant>
      <vt:variant>
        <vt:i4>5</vt:i4>
      </vt:variant>
      <vt:variant>
        <vt:lpwstr>https://www.ncbi.nlm.nih.gov/pmc/articles/PMC4144270/</vt:lpwstr>
      </vt:variant>
      <vt:variant>
        <vt:lpwstr>R176</vt:lpwstr>
      </vt:variant>
      <vt:variant>
        <vt:i4>1245189</vt:i4>
      </vt:variant>
      <vt:variant>
        <vt:i4>861</vt:i4>
      </vt:variant>
      <vt:variant>
        <vt:i4>0</vt:i4>
      </vt:variant>
      <vt:variant>
        <vt:i4>5</vt:i4>
      </vt:variant>
      <vt:variant>
        <vt:lpwstr>https://www.ncbi.nlm.nih.gov/pmc/articles/PMC4144270/</vt:lpwstr>
      </vt:variant>
      <vt:variant>
        <vt:lpwstr>R174</vt:lpwstr>
      </vt:variant>
      <vt:variant>
        <vt:i4>1310725</vt:i4>
      </vt:variant>
      <vt:variant>
        <vt:i4>858</vt:i4>
      </vt:variant>
      <vt:variant>
        <vt:i4>0</vt:i4>
      </vt:variant>
      <vt:variant>
        <vt:i4>5</vt:i4>
      </vt:variant>
      <vt:variant>
        <vt:lpwstr>https://www.ncbi.nlm.nih.gov/pmc/articles/PMC4144270/</vt:lpwstr>
      </vt:variant>
      <vt:variant>
        <vt:lpwstr>R173</vt:lpwstr>
      </vt:variant>
      <vt:variant>
        <vt:i4>1048580</vt:i4>
      </vt:variant>
      <vt:variant>
        <vt:i4>855</vt:i4>
      </vt:variant>
      <vt:variant>
        <vt:i4>0</vt:i4>
      </vt:variant>
      <vt:variant>
        <vt:i4>5</vt:i4>
      </vt:variant>
      <vt:variant>
        <vt:lpwstr>https://www.ncbi.nlm.nih.gov/pmc/articles/PMC4144270/</vt:lpwstr>
      </vt:variant>
      <vt:variant>
        <vt:lpwstr>R167</vt:lpwstr>
      </vt:variant>
      <vt:variant>
        <vt:i4>1114117</vt:i4>
      </vt:variant>
      <vt:variant>
        <vt:i4>852</vt:i4>
      </vt:variant>
      <vt:variant>
        <vt:i4>0</vt:i4>
      </vt:variant>
      <vt:variant>
        <vt:i4>5</vt:i4>
      </vt:variant>
      <vt:variant>
        <vt:lpwstr>https://www.ncbi.nlm.nih.gov/pmc/articles/PMC4144270/</vt:lpwstr>
      </vt:variant>
      <vt:variant>
        <vt:lpwstr>R176</vt:lpwstr>
      </vt:variant>
      <vt:variant>
        <vt:i4>1245189</vt:i4>
      </vt:variant>
      <vt:variant>
        <vt:i4>849</vt:i4>
      </vt:variant>
      <vt:variant>
        <vt:i4>0</vt:i4>
      </vt:variant>
      <vt:variant>
        <vt:i4>5</vt:i4>
      </vt:variant>
      <vt:variant>
        <vt:lpwstr>https://www.ncbi.nlm.nih.gov/pmc/articles/PMC4144270/</vt:lpwstr>
      </vt:variant>
      <vt:variant>
        <vt:lpwstr>R174</vt:lpwstr>
      </vt:variant>
      <vt:variant>
        <vt:i4>1048580</vt:i4>
      </vt:variant>
      <vt:variant>
        <vt:i4>846</vt:i4>
      </vt:variant>
      <vt:variant>
        <vt:i4>0</vt:i4>
      </vt:variant>
      <vt:variant>
        <vt:i4>5</vt:i4>
      </vt:variant>
      <vt:variant>
        <vt:lpwstr>https://www.ncbi.nlm.nih.gov/pmc/articles/PMC4144270/</vt:lpwstr>
      </vt:variant>
      <vt:variant>
        <vt:lpwstr>R167</vt:lpwstr>
      </vt:variant>
      <vt:variant>
        <vt:i4>1310725</vt:i4>
      </vt:variant>
      <vt:variant>
        <vt:i4>843</vt:i4>
      </vt:variant>
      <vt:variant>
        <vt:i4>0</vt:i4>
      </vt:variant>
      <vt:variant>
        <vt:i4>5</vt:i4>
      </vt:variant>
      <vt:variant>
        <vt:lpwstr>https://www.ncbi.nlm.nih.gov/pmc/articles/PMC4144270/</vt:lpwstr>
      </vt:variant>
      <vt:variant>
        <vt:lpwstr>R173</vt:lpwstr>
      </vt:variant>
      <vt:variant>
        <vt:i4>1048581</vt:i4>
      </vt:variant>
      <vt:variant>
        <vt:i4>840</vt:i4>
      </vt:variant>
      <vt:variant>
        <vt:i4>0</vt:i4>
      </vt:variant>
      <vt:variant>
        <vt:i4>5</vt:i4>
      </vt:variant>
      <vt:variant>
        <vt:lpwstr>https://www.ncbi.nlm.nih.gov/pmc/articles/PMC4144270/</vt:lpwstr>
      </vt:variant>
      <vt:variant>
        <vt:lpwstr>R177</vt:lpwstr>
      </vt:variant>
      <vt:variant>
        <vt:i4>1114117</vt:i4>
      </vt:variant>
      <vt:variant>
        <vt:i4>837</vt:i4>
      </vt:variant>
      <vt:variant>
        <vt:i4>0</vt:i4>
      </vt:variant>
      <vt:variant>
        <vt:i4>5</vt:i4>
      </vt:variant>
      <vt:variant>
        <vt:lpwstr>https://www.ncbi.nlm.nih.gov/pmc/articles/PMC4144270/</vt:lpwstr>
      </vt:variant>
      <vt:variant>
        <vt:lpwstr>R176</vt:lpwstr>
      </vt:variant>
      <vt:variant>
        <vt:i4>1048580</vt:i4>
      </vt:variant>
      <vt:variant>
        <vt:i4>834</vt:i4>
      </vt:variant>
      <vt:variant>
        <vt:i4>0</vt:i4>
      </vt:variant>
      <vt:variant>
        <vt:i4>5</vt:i4>
      </vt:variant>
      <vt:variant>
        <vt:lpwstr>https://www.ncbi.nlm.nih.gov/pmc/articles/PMC4144270/</vt:lpwstr>
      </vt:variant>
      <vt:variant>
        <vt:lpwstr>R167</vt:lpwstr>
      </vt:variant>
      <vt:variant>
        <vt:i4>1245189</vt:i4>
      </vt:variant>
      <vt:variant>
        <vt:i4>831</vt:i4>
      </vt:variant>
      <vt:variant>
        <vt:i4>0</vt:i4>
      </vt:variant>
      <vt:variant>
        <vt:i4>5</vt:i4>
      </vt:variant>
      <vt:variant>
        <vt:lpwstr>https://www.ncbi.nlm.nih.gov/pmc/articles/PMC4144270/</vt:lpwstr>
      </vt:variant>
      <vt:variant>
        <vt:lpwstr>R174</vt:lpwstr>
      </vt:variant>
      <vt:variant>
        <vt:i4>1310725</vt:i4>
      </vt:variant>
      <vt:variant>
        <vt:i4>828</vt:i4>
      </vt:variant>
      <vt:variant>
        <vt:i4>0</vt:i4>
      </vt:variant>
      <vt:variant>
        <vt:i4>5</vt:i4>
      </vt:variant>
      <vt:variant>
        <vt:lpwstr>https://www.ncbi.nlm.nih.gov/pmc/articles/PMC4144270/</vt:lpwstr>
      </vt:variant>
      <vt:variant>
        <vt:lpwstr>R173</vt:lpwstr>
      </vt:variant>
      <vt:variant>
        <vt:i4>1310725</vt:i4>
      </vt:variant>
      <vt:variant>
        <vt:i4>825</vt:i4>
      </vt:variant>
      <vt:variant>
        <vt:i4>0</vt:i4>
      </vt:variant>
      <vt:variant>
        <vt:i4>5</vt:i4>
      </vt:variant>
      <vt:variant>
        <vt:lpwstr>https://www.ncbi.nlm.nih.gov/pmc/articles/PMC4144270/</vt:lpwstr>
      </vt:variant>
      <vt:variant>
        <vt:lpwstr>R173</vt:lpwstr>
      </vt:variant>
      <vt:variant>
        <vt:i4>1507333</vt:i4>
      </vt:variant>
      <vt:variant>
        <vt:i4>822</vt:i4>
      </vt:variant>
      <vt:variant>
        <vt:i4>0</vt:i4>
      </vt:variant>
      <vt:variant>
        <vt:i4>5</vt:i4>
      </vt:variant>
      <vt:variant>
        <vt:lpwstr>https://www.ncbi.nlm.nih.gov/pmc/articles/PMC4144270/</vt:lpwstr>
      </vt:variant>
      <vt:variant>
        <vt:lpwstr>R170</vt:lpwstr>
      </vt:variant>
      <vt:variant>
        <vt:i4>1179653</vt:i4>
      </vt:variant>
      <vt:variant>
        <vt:i4>819</vt:i4>
      </vt:variant>
      <vt:variant>
        <vt:i4>0</vt:i4>
      </vt:variant>
      <vt:variant>
        <vt:i4>5</vt:i4>
      </vt:variant>
      <vt:variant>
        <vt:lpwstr>https://www.ncbi.nlm.nih.gov/pmc/articles/PMC4144270/</vt:lpwstr>
      </vt:variant>
      <vt:variant>
        <vt:lpwstr>R175</vt:lpwstr>
      </vt:variant>
      <vt:variant>
        <vt:i4>1245189</vt:i4>
      </vt:variant>
      <vt:variant>
        <vt:i4>816</vt:i4>
      </vt:variant>
      <vt:variant>
        <vt:i4>0</vt:i4>
      </vt:variant>
      <vt:variant>
        <vt:i4>5</vt:i4>
      </vt:variant>
      <vt:variant>
        <vt:lpwstr>https://www.ncbi.nlm.nih.gov/pmc/articles/PMC4144270/</vt:lpwstr>
      </vt:variant>
      <vt:variant>
        <vt:lpwstr>R174</vt:lpwstr>
      </vt:variant>
      <vt:variant>
        <vt:i4>1310725</vt:i4>
      </vt:variant>
      <vt:variant>
        <vt:i4>813</vt:i4>
      </vt:variant>
      <vt:variant>
        <vt:i4>0</vt:i4>
      </vt:variant>
      <vt:variant>
        <vt:i4>5</vt:i4>
      </vt:variant>
      <vt:variant>
        <vt:lpwstr>https://www.ncbi.nlm.nih.gov/pmc/articles/PMC4144270/</vt:lpwstr>
      </vt:variant>
      <vt:variant>
        <vt:lpwstr>R173</vt:lpwstr>
      </vt:variant>
      <vt:variant>
        <vt:i4>1376261</vt:i4>
      </vt:variant>
      <vt:variant>
        <vt:i4>810</vt:i4>
      </vt:variant>
      <vt:variant>
        <vt:i4>0</vt:i4>
      </vt:variant>
      <vt:variant>
        <vt:i4>5</vt:i4>
      </vt:variant>
      <vt:variant>
        <vt:lpwstr>https://www.ncbi.nlm.nih.gov/pmc/articles/PMC4144270/</vt:lpwstr>
      </vt:variant>
      <vt:variant>
        <vt:lpwstr>R172</vt:lpwstr>
      </vt:variant>
      <vt:variant>
        <vt:i4>1441797</vt:i4>
      </vt:variant>
      <vt:variant>
        <vt:i4>807</vt:i4>
      </vt:variant>
      <vt:variant>
        <vt:i4>0</vt:i4>
      </vt:variant>
      <vt:variant>
        <vt:i4>5</vt:i4>
      </vt:variant>
      <vt:variant>
        <vt:lpwstr>https://www.ncbi.nlm.nih.gov/pmc/articles/PMC4144270/</vt:lpwstr>
      </vt:variant>
      <vt:variant>
        <vt:lpwstr>R171</vt:lpwstr>
      </vt:variant>
      <vt:variant>
        <vt:i4>1507333</vt:i4>
      </vt:variant>
      <vt:variant>
        <vt:i4>804</vt:i4>
      </vt:variant>
      <vt:variant>
        <vt:i4>0</vt:i4>
      </vt:variant>
      <vt:variant>
        <vt:i4>5</vt:i4>
      </vt:variant>
      <vt:variant>
        <vt:lpwstr>https://www.ncbi.nlm.nih.gov/pmc/articles/PMC4144270/</vt:lpwstr>
      </vt:variant>
      <vt:variant>
        <vt:lpwstr>R170</vt:lpwstr>
      </vt:variant>
      <vt:variant>
        <vt:i4>1966084</vt:i4>
      </vt:variant>
      <vt:variant>
        <vt:i4>801</vt:i4>
      </vt:variant>
      <vt:variant>
        <vt:i4>0</vt:i4>
      </vt:variant>
      <vt:variant>
        <vt:i4>5</vt:i4>
      </vt:variant>
      <vt:variant>
        <vt:lpwstr>https://www.ncbi.nlm.nih.gov/pmc/articles/PMC4144270/</vt:lpwstr>
      </vt:variant>
      <vt:variant>
        <vt:lpwstr>R169</vt:lpwstr>
      </vt:variant>
      <vt:variant>
        <vt:i4>2031620</vt:i4>
      </vt:variant>
      <vt:variant>
        <vt:i4>798</vt:i4>
      </vt:variant>
      <vt:variant>
        <vt:i4>0</vt:i4>
      </vt:variant>
      <vt:variant>
        <vt:i4>5</vt:i4>
      </vt:variant>
      <vt:variant>
        <vt:lpwstr>https://www.ncbi.nlm.nih.gov/pmc/articles/PMC4144270/</vt:lpwstr>
      </vt:variant>
      <vt:variant>
        <vt:lpwstr>R168</vt:lpwstr>
      </vt:variant>
      <vt:variant>
        <vt:i4>1048580</vt:i4>
      </vt:variant>
      <vt:variant>
        <vt:i4>795</vt:i4>
      </vt:variant>
      <vt:variant>
        <vt:i4>0</vt:i4>
      </vt:variant>
      <vt:variant>
        <vt:i4>5</vt:i4>
      </vt:variant>
      <vt:variant>
        <vt:lpwstr>https://www.ncbi.nlm.nih.gov/pmc/articles/PMC4144270/</vt:lpwstr>
      </vt:variant>
      <vt:variant>
        <vt:lpwstr>R167</vt:lpwstr>
      </vt:variant>
      <vt:variant>
        <vt:i4>1114116</vt:i4>
      </vt:variant>
      <vt:variant>
        <vt:i4>792</vt:i4>
      </vt:variant>
      <vt:variant>
        <vt:i4>0</vt:i4>
      </vt:variant>
      <vt:variant>
        <vt:i4>5</vt:i4>
      </vt:variant>
      <vt:variant>
        <vt:lpwstr>https://www.ncbi.nlm.nih.gov/pmc/articles/PMC4144270/</vt:lpwstr>
      </vt:variant>
      <vt:variant>
        <vt:lpwstr>R166</vt:lpwstr>
      </vt:variant>
      <vt:variant>
        <vt:i4>1179652</vt:i4>
      </vt:variant>
      <vt:variant>
        <vt:i4>789</vt:i4>
      </vt:variant>
      <vt:variant>
        <vt:i4>0</vt:i4>
      </vt:variant>
      <vt:variant>
        <vt:i4>5</vt:i4>
      </vt:variant>
      <vt:variant>
        <vt:lpwstr>https://www.ncbi.nlm.nih.gov/pmc/articles/PMC4144270/</vt:lpwstr>
      </vt:variant>
      <vt:variant>
        <vt:lpwstr>R165</vt:lpwstr>
      </vt:variant>
      <vt:variant>
        <vt:i4>1245188</vt:i4>
      </vt:variant>
      <vt:variant>
        <vt:i4>786</vt:i4>
      </vt:variant>
      <vt:variant>
        <vt:i4>0</vt:i4>
      </vt:variant>
      <vt:variant>
        <vt:i4>5</vt:i4>
      </vt:variant>
      <vt:variant>
        <vt:lpwstr>https://www.ncbi.nlm.nih.gov/pmc/articles/PMC4144270/</vt:lpwstr>
      </vt:variant>
      <vt:variant>
        <vt:lpwstr>R164</vt:lpwstr>
      </vt:variant>
      <vt:variant>
        <vt:i4>1310724</vt:i4>
      </vt:variant>
      <vt:variant>
        <vt:i4>783</vt:i4>
      </vt:variant>
      <vt:variant>
        <vt:i4>0</vt:i4>
      </vt:variant>
      <vt:variant>
        <vt:i4>5</vt:i4>
      </vt:variant>
      <vt:variant>
        <vt:lpwstr>https://www.ncbi.nlm.nih.gov/pmc/articles/PMC4144270/</vt:lpwstr>
      </vt:variant>
      <vt:variant>
        <vt:lpwstr>R163</vt:lpwstr>
      </vt:variant>
      <vt:variant>
        <vt:i4>2359346</vt:i4>
      </vt:variant>
      <vt:variant>
        <vt:i4>780</vt:i4>
      </vt:variant>
      <vt:variant>
        <vt:i4>0</vt:i4>
      </vt:variant>
      <vt:variant>
        <vt:i4>5</vt:i4>
      </vt:variant>
      <vt:variant>
        <vt:lpwstr>https://www.ncbi.nlm.nih.gov/pmc/articles/PMC4144270/</vt:lpwstr>
      </vt:variant>
      <vt:variant>
        <vt:lpwstr>R28</vt:lpwstr>
      </vt:variant>
      <vt:variant>
        <vt:i4>2359346</vt:i4>
      </vt:variant>
      <vt:variant>
        <vt:i4>777</vt:i4>
      </vt:variant>
      <vt:variant>
        <vt:i4>0</vt:i4>
      </vt:variant>
      <vt:variant>
        <vt:i4>5</vt:i4>
      </vt:variant>
      <vt:variant>
        <vt:lpwstr>https://www.ncbi.nlm.nih.gov/pmc/articles/PMC4144270/</vt:lpwstr>
      </vt:variant>
      <vt:variant>
        <vt:lpwstr>R27</vt:lpwstr>
      </vt:variant>
      <vt:variant>
        <vt:i4>1376260</vt:i4>
      </vt:variant>
      <vt:variant>
        <vt:i4>774</vt:i4>
      </vt:variant>
      <vt:variant>
        <vt:i4>0</vt:i4>
      </vt:variant>
      <vt:variant>
        <vt:i4>5</vt:i4>
      </vt:variant>
      <vt:variant>
        <vt:lpwstr>https://www.ncbi.nlm.nih.gov/pmc/articles/PMC4144270/</vt:lpwstr>
      </vt:variant>
      <vt:variant>
        <vt:lpwstr>R162</vt:lpwstr>
      </vt:variant>
      <vt:variant>
        <vt:i4>1179649</vt:i4>
      </vt:variant>
      <vt:variant>
        <vt:i4>771</vt:i4>
      </vt:variant>
      <vt:variant>
        <vt:i4>0</vt:i4>
      </vt:variant>
      <vt:variant>
        <vt:i4>5</vt:i4>
      </vt:variant>
      <vt:variant>
        <vt:lpwstr>https://www.ncbi.nlm.nih.gov/pmc/articles/PMC4144270/</vt:lpwstr>
      </vt:variant>
      <vt:variant>
        <vt:lpwstr>R135</vt:lpwstr>
      </vt:variant>
      <vt:variant>
        <vt:i4>1441796</vt:i4>
      </vt:variant>
      <vt:variant>
        <vt:i4>768</vt:i4>
      </vt:variant>
      <vt:variant>
        <vt:i4>0</vt:i4>
      </vt:variant>
      <vt:variant>
        <vt:i4>5</vt:i4>
      </vt:variant>
      <vt:variant>
        <vt:lpwstr>https://www.ncbi.nlm.nih.gov/pmc/articles/PMC4144270/</vt:lpwstr>
      </vt:variant>
      <vt:variant>
        <vt:lpwstr>R161</vt:lpwstr>
      </vt:variant>
      <vt:variant>
        <vt:i4>1507332</vt:i4>
      </vt:variant>
      <vt:variant>
        <vt:i4>765</vt:i4>
      </vt:variant>
      <vt:variant>
        <vt:i4>0</vt:i4>
      </vt:variant>
      <vt:variant>
        <vt:i4>5</vt:i4>
      </vt:variant>
      <vt:variant>
        <vt:lpwstr>https://www.ncbi.nlm.nih.gov/pmc/articles/PMC4144270/</vt:lpwstr>
      </vt:variant>
      <vt:variant>
        <vt:lpwstr>R160</vt:lpwstr>
      </vt:variant>
      <vt:variant>
        <vt:i4>1966087</vt:i4>
      </vt:variant>
      <vt:variant>
        <vt:i4>762</vt:i4>
      </vt:variant>
      <vt:variant>
        <vt:i4>0</vt:i4>
      </vt:variant>
      <vt:variant>
        <vt:i4>5</vt:i4>
      </vt:variant>
      <vt:variant>
        <vt:lpwstr>https://www.ncbi.nlm.nih.gov/pmc/articles/PMC4144270/</vt:lpwstr>
      </vt:variant>
      <vt:variant>
        <vt:lpwstr>R159</vt:lpwstr>
      </vt:variant>
      <vt:variant>
        <vt:i4>2031623</vt:i4>
      </vt:variant>
      <vt:variant>
        <vt:i4>759</vt:i4>
      </vt:variant>
      <vt:variant>
        <vt:i4>0</vt:i4>
      </vt:variant>
      <vt:variant>
        <vt:i4>5</vt:i4>
      </vt:variant>
      <vt:variant>
        <vt:lpwstr>https://www.ncbi.nlm.nih.gov/pmc/articles/PMC4144270/</vt:lpwstr>
      </vt:variant>
      <vt:variant>
        <vt:lpwstr>R158</vt:lpwstr>
      </vt:variant>
      <vt:variant>
        <vt:i4>1048583</vt:i4>
      </vt:variant>
      <vt:variant>
        <vt:i4>756</vt:i4>
      </vt:variant>
      <vt:variant>
        <vt:i4>0</vt:i4>
      </vt:variant>
      <vt:variant>
        <vt:i4>5</vt:i4>
      </vt:variant>
      <vt:variant>
        <vt:lpwstr>https://www.ncbi.nlm.nih.gov/pmc/articles/PMC4144270/</vt:lpwstr>
      </vt:variant>
      <vt:variant>
        <vt:lpwstr>R157</vt:lpwstr>
      </vt:variant>
      <vt:variant>
        <vt:i4>1114119</vt:i4>
      </vt:variant>
      <vt:variant>
        <vt:i4>753</vt:i4>
      </vt:variant>
      <vt:variant>
        <vt:i4>0</vt:i4>
      </vt:variant>
      <vt:variant>
        <vt:i4>5</vt:i4>
      </vt:variant>
      <vt:variant>
        <vt:lpwstr>https://www.ncbi.nlm.nih.gov/pmc/articles/PMC4144270/</vt:lpwstr>
      </vt:variant>
      <vt:variant>
        <vt:lpwstr>R156</vt:lpwstr>
      </vt:variant>
      <vt:variant>
        <vt:i4>1179655</vt:i4>
      </vt:variant>
      <vt:variant>
        <vt:i4>750</vt:i4>
      </vt:variant>
      <vt:variant>
        <vt:i4>0</vt:i4>
      </vt:variant>
      <vt:variant>
        <vt:i4>5</vt:i4>
      </vt:variant>
      <vt:variant>
        <vt:lpwstr>https://www.ncbi.nlm.nih.gov/pmc/articles/PMC4144270/</vt:lpwstr>
      </vt:variant>
      <vt:variant>
        <vt:lpwstr>R155</vt:lpwstr>
      </vt:variant>
      <vt:variant>
        <vt:i4>2031622</vt:i4>
      </vt:variant>
      <vt:variant>
        <vt:i4>747</vt:i4>
      </vt:variant>
      <vt:variant>
        <vt:i4>0</vt:i4>
      </vt:variant>
      <vt:variant>
        <vt:i4>5</vt:i4>
      </vt:variant>
      <vt:variant>
        <vt:lpwstr>https://www.ncbi.nlm.nih.gov/pmc/articles/PMC4144270/</vt:lpwstr>
      </vt:variant>
      <vt:variant>
        <vt:lpwstr>R148</vt:lpwstr>
      </vt:variant>
      <vt:variant>
        <vt:i4>1376262</vt:i4>
      </vt:variant>
      <vt:variant>
        <vt:i4>744</vt:i4>
      </vt:variant>
      <vt:variant>
        <vt:i4>0</vt:i4>
      </vt:variant>
      <vt:variant>
        <vt:i4>5</vt:i4>
      </vt:variant>
      <vt:variant>
        <vt:lpwstr>https://www.ncbi.nlm.nih.gov/pmc/articles/PMC4144270/</vt:lpwstr>
      </vt:variant>
      <vt:variant>
        <vt:lpwstr>R142</vt:lpwstr>
      </vt:variant>
      <vt:variant>
        <vt:i4>1245191</vt:i4>
      </vt:variant>
      <vt:variant>
        <vt:i4>741</vt:i4>
      </vt:variant>
      <vt:variant>
        <vt:i4>0</vt:i4>
      </vt:variant>
      <vt:variant>
        <vt:i4>5</vt:i4>
      </vt:variant>
      <vt:variant>
        <vt:lpwstr>https://www.ncbi.nlm.nih.gov/pmc/articles/PMC4144270/</vt:lpwstr>
      </vt:variant>
      <vt:variant>
        <vt:lpwstr>R154</vt:lpwstr>
      </vt:variant>
      <vt:variant>
        <vt:i4>1310727</vt:i4>
      </vt:variant>
      <vt:variant>
        <vt:i4>738</vt:i4>
      </vt:variant>
      <vt:variant>
        <vt:i4>0</vt:i4>
      </vt:variant>
      <vt:variant>
        <vt:i4>5</vt:i4>
      </vt:variant>
      <vt:variant>
        <vt:lpwstr>https://www.ncbi.nlm.nih.gov/pmc/articles/PMC4144270/</vt:lpwstr>
      </vt:variant>
      <vt:variant>
        <vt:lpwstr>R153</vt:lpwstr>
      </vt:variant>
      <vt:variant>
        <vt:i4>1376263</vt:i4>
      </vt:variant>
      <vt:variant>
        <vt:i4>735</vt:i4>
      </vt:variant>
      <vt:variant>
        <vt:i4>0</vt:i4>
      </vt:variant>
      <vt:variant>
        <vt:i4>5</vt:i4>
      </vt:variant>
      <vt:variant>
        <vt:lpwstr>https://www.ncbi.nlm.nih.gov/pmc/articles/PMC4144270/</vt:lpwstr>
      </vt:variant>
      <vt:variant>
        <vt:lpwstr>R152</vt:lpwstr>
      </vt:variant>
      <vt:variant>
        <vt:i4>1441799</vt:i4>
      </vt:variant>
      <vt:variant>
        <vt:i4>732</vt:i4>
      </vt:variant>
      <vt:variant>
        <vt:i4>0</vt:i4>
      </vt:variant>
      <vt:variant>
        <vt:i4>5</vt:i4>
      </vt:variant>
      <vt:variant>
        <vt:lpwstr>https://www.ncbi.nlm.nih.gov/pmc/articles/PMC4144270/</vt:lpwstr>
      </vt:variant>
      <vt:variant>
        <vt:lpwstr>R151</vt:lpwstr>
      </vt:variant>
      <vt:variant>
        <vt:i4>1507335</vt:i4>
      </vt:variant>
      <vt:variant>
        <vt:i4>729</vt:i4>
      </vt:variant>
      <vt:variant>
        <vt:i4>0</vt:i4>
      </vt:variant>
      <vt:variant>
        <vt:i4>5</vt:i4>
      </vt:variant>
      <vt:variant>
        <vt:lpwstr>https://www.ncbi.nlm.nih.gov/pmc/articles/PMC4144270/</vt:lpwstr>
      </vt:variant>
      <vt:variant>
        <vt:lpwstr>R150</vt:lpwstr>
      </vt:variant>
      <vt:variant>
        <vt:i4>1966086</vt:i4>
      </vt:variant>
      <vt:variant>
        <vt:i4>726</vt:i4>
      </vt:variant>
      <vt:variant>
        <vt:i4>0</vt:i4>
      </vt:variant>
      <vt:variant>
        <vt:i4>5</vt:i4>
      </vt:variant>
      <vt:variant>
        <vt:lpwstr>https://www.ncbi.nlm.nih.gov/pmc/articles/PMC4144270/</vt:lpwstr>
      </vt:variant>
      <vt:variant>
        <vt:lpwstr>R149</vt:lpwstr>
      </vt:variant>
      <vt:variant>
        <vt:i4>1245185</vt:i4>
      </vt:variant>
      <vt:variant>
        <vt:i4>723</vt:i4>
      </vt:variant>
      <vt:variant>
        <vt:i4>0</vt:i4>
      </vt:variant>
      <vt:variant>
        <vt:i4>5</vt:i4>
      </vt:variant>
      <vt:variant>
        <vt:lpwstr>https://www.ncbi.nlm.nih.gov/pmc/articles/PMC4144270/</vt:lpwstr>
      </vt:variant>
      <vt:variant>
        <vt:lpwstr>R134</vt:lpwstr>
      </vt:variant>
      <vt:variant>
        <vt:i4>2031622</vt:i4>
      </vt:variant>
      <vt:variant>
        <vt:i4>720</vt:i4>
      </vt:variant>
      <vt:variant>
        <vt:i4>0</vt:i4>
      </vt:variant>
      <vt:variant>
        <vt:i4>5</vt:i4>
      </vt:variant>
      <vt:variant>
        <vt:lpwstr>https://www.ncbi.nlm.nih.gov/pmc/articles/PMC4144270/</vt:lpwstr>
      </vt:variant>
      <vt:variant>
        <vt:lpwstr>R148</vt:lpwstr>
      </vt:variant>
      <vt:variant>
        <vt:i4>1048582</vt:i4>
      </vt:variant>
      <vt:variant>
        <vt:i4>717</vt:i4>
      </vt:variant>
      <vt:variant>
        <vt:i4>0</vt:i4>
      </vt:variant>
      <vt:variant>
        <vt:i4>5</vt:i4>
      </vt:variant>
      <vt:variant>
        <vt:lpwstr>https://www.ncbi.nlm.nih.gov/pmc/articles/PMC4144270/</vt:lpwstr>
      </vt:variant>
      <vt:variant>
        <vt:lpwstr>R147</vt:lpwstr>
      </vt:variant>
      <vt:variant>
        <vt:i4>1114118</vt:i4>
      </vt:variant>
      <vt:variant>
        <vt:i4>714</vt:i4>
      </vt:variant>
      <vt:variant>
        <vt:i4>0</vt:i4>
      </vt:variant>
      <vt:variant>
        <vt:i4>5</vt:i4>
      </vt:variant>
      <vt:variant>
        <vt:lpwstr>https://www.ncbi.nlm.nih.gov/pmc/articles/PMC4144270/</vt:lpwstr>
      </vt:variant>
      <vt:variant>
        <vt:lpwstr>R146</vt:lpwstr>
      </vt:variant>
      <vt:variant>
        <vt:i4>1179654</vt:i4>
      </vt:variant>
      <vt:variant>
        <vt:i4>711</vt:i4>
      </vt:variant>
      <vt:variant>
        <vt:i4>0</vt:i4>
      </vt:variant>
      <vt:variant>
        <vt:i4>5</vt:i4>
      </vt:variant>
      <vt:variant>
        <vt:lpwstr>https://www.ncbi.nlm.nih.gov/pmc/articles/PMC4144270/</vt:lpwstr>
      </vt:variant>
      <vt:variant>
        <vt:lpwstr>R145</vt:lpwstr>
      </vt:variant>
      <vt:variant>
        <vt:i4>1441798</vt:i4>
      </vt:variant>
      <vt:variant>
        <vt:i4>708</vt:i4>
      </vt:variant>
      <vt:variant>
        <vt:i4>0</vt:i4>
      </vt:variant>
      <vt:variant>
        <vt:i4>5</vt:i4>
      </vt:variant>
      <vt:variant>
        <vt:lpwstr>https://www.ncbi.nlm.nih.gov/pmc/articles/PMC4144270/</vt:lpwstr>
      </vt:variant>
      <vt:variant>
        <vt:lpwstr>R141</vt:lpwstr>
      </vt:variant>
      <vt:variant>
        <vt:i4>1245190</vt:i4>
      </vt:variant>
      <vt:variant>
        <vt:i4>705</vt:i4>
      </vt:variant>
      <vt:variant>
        <vt:i4>0</vt:i4>
      </vt:variant>
      <vt:variant>
        <vt:i4>5</vt:i4>
      </vt:variant>
      <vt:variant>
        <vt:lpwstr>https://www.ncbi.nlm.nih.gov/pmc/articles/PMC4144270/</vt:lpwstr>
      </vt:variant>
      <vt:variant>
        <vt:lpwstr>R144</vt:lpwstr>
      </vt:variant>
      <vt:variant>
        <vt:i4>2293810</vt:i4>
      </vt:variant>
      <vt:variant>
        <vt:i4>702</vt:i4>
      </vt:variant>
      <vt:variant>
        <vt:i4>0</vt:i4>
      </vt:variant>
      <vt:variant>
        <vt:i4>5</vt:i4>
      </vt:variant>
      <vt:variant>
        <vt:lpwstr>https://www.ncbi.nlm.nih.gov/pmc/articles/PMC4144270/</vt:lpwstr>
      </vt:variant>
      <vt:variant>
        <vt:lpwstr>R5</vt:lpwstr>
      </vt:variant>
      <vt:variant>
        <vt:i4>1310726</vt:i4>
      </vt:variant>
      <vt:variant>
        <vt:i4>699</vt:i4>
      </vt:variant>
      <vt:variant>
        <vt:i4>0</vt:i4>
      </vt:variant>
      <vt:variant>
        <vt:i4>5</vt:i4>
      </vt:variant>
      <vt:variant>
        <vt:lpwstr>https://www.ncbi.nlm.nih.gov/pmc/articles/PMC4144270/</vt:lpwstr>
      </vt:variant>
      <vt:variant>
        <vt:lpwstr>R143</vt:lpwstr>
      </vt:variant>
      <vt:variant>
        <vt:i4>1310726</vt:i4>
      </vt:variant>
      <vt:variant>
        <vt:i4>696</vt:i4>
      </vt:variant>
      <vt:variant>
        <vt:i4>0</vt:i4>
      </vt:variant>
      <vt:variant>
        <vt:i4>5</vt:i4>
      </vt:variant>
      <vt:variant>
        <vt:lpwstr>https://www.ncbi.nlm.nih.gov/pmc/articles/PMC4144270/</vt:lpwstr>
      </vt:variant>
      <vt:variant>
        <vt:lpwstr>R143</vt:lpwstr>
      </vt:variant>
      <vt:variant>
        <vt:i4>1376262</vt:i4>
      </vt:variant>
      <vt:variant>
        <vt:i4>693</vt:i4>
      </vt:variant>
      <vt:variant>
        <vt:i4>0</vt:i4>
      </vt:variant>
      <vt:variant>
        <vt:i4>5</vt:i4>
      </vt:variant>
      <vt:variant>
        <vt:lpwstr>https://www.ncbi.nlm.nih.gov/pmc/articles/PMC4144270/</vt:lpwstr>
      </vt:variant>
      <vt:variant>
        <vt:lpwstr>R142</vt:lpwstr>
      </vt:variant>
      <vt:variant>
        <vt:i4>1441798</vt:i4>
      </vt:variant>
      <vt:variant>
        <vt:i4>690</vt:i4>
      </vt:variant>
      <vt:variant>
        <vt:i4>0</vt:i4>
      </vt:variant>
      <vt:variant>
        <vt:i4>5</vt:i4>
      </vt:variant>
      <vt:variant>
        <vt:lpwstr>https://www.ncbi.nlm.nih.gov/pmc/articles/PMC4144270/</vt:lpwstr>
      </vt:variant>
      <vt:variant>
        <vt:lpwstr>R141</vt:lpwstr>
      </vt:variant>
      <vt:variant>
        <vt:i4>1966080</vt:i4>
      </vt:variant>
      <vt:variant>
        <vt:i4>687</vt:i4>
      </vt:variant>
      <vt:variant>
        <vt:i4>0</vt:i4>
      </vt:variant>
      <vt:variant>
        <vt:i4>5</vt:i4>
      </vt:variant>
      <vt:variant>
        <vt:lpwstr>https://www.ncbi.nlm.nih.gov/pmc/articles/PMC4144270/</vt:lpwstr>
      </vt:variant>
      <vt:variant>
        <vt:lpwstr>R129</vt:lpwstr>
      </vt:variant>
      <vt:variant>
        <vt:i4>1507334</vt:i4>
      </vt:variant>
      <vt:variant>
        <vt:i4>684</vt:i4>
      </vt:variant>
      <vt:variant>
        <vt:i4>0</vt:i4>
      </vt:variant>
      <vt:variant>
        <vt:i4>5</vt:i4>
      </vt:variant>
      <vt:variant>
        <vt:lpwstr>https://www.ncbi.nlm.nih.gov/pmc/articles/PMC4144270/</vt:lpwstr>
      </vt:variant>
      <vt:variant>
        <vt:lpwstr>R140</vt:lpwstr>
      </vt:variant>
      <vt:variant>
        <vt:i4>1966081</vt:i4>
      </vt:variant>
      <vt:variant>
        <vt:i4>681</vt:i4>
      </vt:variant>
      <vt:variant>
        <vt:i4>0</vt:i4>
      </vt:variant>
      <vt:variant>
        <vt:i4>5</vt:i4>
      </vt:variant>
      <vt:variant>
        <vt:lpwstr>https://www.ncbi.nlm.nih.gov/pmc/articles/PMC4144270/</vt:lpwstr>
      </vt:variant>
      <vt:variant>
        <vt:lpwstr>R139</vt:lpwstr>
      </vt:variant>
      <vt:variant>
        <vt:i4>2031617</vt:i4>
      </vt:variant>
      <vt:variant>
        <vt:i4>678</vt:i4>
      </vt:variant>
      <vt:variant>
        <vt:i4>0</vt:i4>
      </vt:variant>
      <vt:variant>
        <vt:i4>5</vt:i4>
      </vt:variant>
      <vt:variant>
        <vt:lpwstr>https://www.ncbi.nlm.nih.gov/pmc/articles/PMC4144270/</vt:lpwstr>
      </vt:variant>
      <vt:variant>
        <vt:lpwstr>R138</vt:lpwstr>
      </vt:variant>
      <vt:variant>
        <vt:i4>1507329</vt:i4>
      </vt:variant>
      <vt:variant>
        <vt:i4>675</vt:i4>
      </vt:variant>
      <vt:variant>
        <vt:i4>0</vt:i4>
      </vt:variant>
      <vt:variant>
        <vt:i4>5</vt:i4>
      </vt:variant>
      <vt:variant>
        <vt:lpwstr>https://www.ncbi.nlm.nih.gov/pmc/articles/PMC4144270/</vt:lpwstr>
      </vt:variant>
      <vt:variant>
        <vt:lpwstr>R130</vt:lpwstr>
      </vt:variant>
      <vt:variant>
        <vt:i4>1048577</vt:i4>
      </vt:variant>
      <vt:variant>
        <vt:i4>672</vt:i4>
      </vt:variant>
      <vt:variant>
        <vt:i4>0</vt:i4>
      </vt:variant>
      <vt:variant>
        <vt:i4>5</vt:i4>
      </vt:variant>
      <vt:variant>
        <vt:lpwstr>https://www.ncbi.nlm.nih.gov/pmc/articles/PMC4144270/</vt:lpwstr>
      </vt:variant>
      <vt:variant>
        <vt:lpwstr>R137</vt:lpwstr>
      </vt:variant>
      <vt:variant>
        <vt:i4>2293810</vt:i4>
      </vt:variant>
      <vt:variant>
        <vt:i4>669</vt:i4>
      </vt:variant>
      <vt:variant>
        <vt:i4>0</vt:i4>
      </vt:variant>
      <vt:variant>
        <vt:i4>5</vt:i4>
      </vt:variant>
      <vt:variant>
        <vt:lpwstr>https://www.ncbi.nlm.nih.gov/pmc/articles/PMC4144270/</vt:lpwstr>
      </vt:variant>
      <vt:variant>
        <vt:lpwstr>R5</vt:lpwstr>
      </vt:variant>
      <vt:variant>
        <vt:i4>1114113</vt:i4>
      </vt:variant>
      <vt:variant>
        <vt:i4>666</vt:i4>
      </vt:variant>
      <vt:variant>
        <vt:i4>0</vt:i4>
      </vt:variant>
      <vt:variant>
        <vt:i4>5</vt:i4>
      </vt:variant>
      <vt:variant>
        <vt:lpwstr>https://www.ncbi.nlm.nih.gov/pmc/articles/PMC4144270/</vt:lpwstr>
      </vt:variant>
      <vt:variant>
        <vt:lpwstr>R136</vt:lpwstr>
      </vt:variant>
      <vt:variant>
        <vt:i4>1179649</vt:i4>
      </vt:variant>
      <vt:variant>
        <vt:i4>663</vt:i4>
      </vt:variant>
      <vt:variant>
        <vt:i4>0</vt:i4>
      </vt:variant>
      <vt:variant>
        <vt:i4>5</vt:i4>
      </vt:variant>
      <vt:variant>
        <vt:lpwstr>https://www.ncbi.nlm.nih.gov/pmc/articles/PMC4144270/</vt:lpwstr>
      </vt:variant>
      <vt:variant>
        <vt:lpwstr>R135</vt:lpwstr>
      </vt:variant>
      <vt:variant>
        <vt:i4>1245185</vt:i4>
      </vt:variant>
      <vt:variant>
        <vt:i4>660</vt:i4>
      </vt:variant>
      <vt:variant>
        <vt:i4>0</vt:i4>
      </vt:variant>
      <vt:variant>
        <vt:i4>5</vt:i4>
      </vt:variant>
      <vt:variant>
        <vt:lpwstr>https://www.ncbi.nlm.nih.gov/pmc/articles/PMC4144270/</vt:lpwstr>
      </vt:variant>
      <vt:variant>
        <vt:lpwstr>R134</vt:lpwstr>
      </vt:variant>
      <vt:variant>
        <vt:i4>1310721</vt:i4>
      </vt:variant>
      <vt:variant>
        <vt:i4>657</vt:i4>
      </vt:variant>
      <vt:variant>
        <vt:i4>0</vt:i4>
      </vt:variant>
      <vt:variant>
        <vt:i4>5</vt:i4>
      </vt:variant>
      <vt:variant>
        <vt:lpwstr>https://www.ncbi.nlm.nih.gov/pmc/articles/PMC4144270/</vt:lpwstr>
      </vt:variant>
      <vt:variant>
        <vt:lpwstr>R133</vt:lpwstr>
      </vt:variant>
      <vt:variant>
        <vt:i4>1376257</vt:i4>
      </vt:variant>
      <vt:variant>
        <vt:i4>654</vt:i4>
      </vt:variant>
      <vt:variant>
        <vt:i4>0</vt:i4>
      </vt:variant>
      <vt:variant>
        <vt:i4>5</vt:i4>
      </vt:variant>
      <vt:variant>
        <vt:lpwstr>https://www.ncbi.nlm.nih.gov/pmc/articles/PMC4144270/</vt:lpwstr>
      </vt:variant>
      <vt:variant>
        <vt:lpwstr>R132</vt:lpwstr>
      </vt:variant>
      <vt:variant>
        <vt:i4>1507329</vt:i4>
      </vt:variant>
      <vt:variant>
        <vt:i4>651</vt:i4>
      </vt:variant>
      <vt:variant>
        <vt:i4>0</vt:i4>
      </vt:variant>
      <vt:variant>
        <vt:i4>5</vt:i4>
      </vt:variant>
      <vt:variant>
        <vt:lpwstr>https://www.ncbi.nlm.nih.gov/pmc/articles/PMC4144270/</vt:lpwstr>
      </vt:variant>
      <vt:variant>
        <vt:lpwstr>R130</vt:lpwstr>
      </vt:variant>
      <vt:variant>
        <vt:i4>1507329</vt:i4>
      </vt:variant>
      <vt:variant>
        <vt:i4>648</vt:i4>
      </vt:variant>
      <vt:variant>
        <vt:i4>0</vt:i4>
      </vt:variant>
      <vt:variant>
        <vt:i4>5</vt:i4>
      </vt:variant>
      <vt:variant>
        <vt:lpwstr>https://www.ncbi.nlm.nih.gov/pmc/articles/PMC4144270/</vt:lpwstr>
      </vt:variant>
      <vt:variant>
        <vt:lpwstr>R130</vt:lpwstr>
      </vt:variant>
      <vt:variant>
        <vt:i4>2359346</vt:i4>
      </vt:variant>
      <vt:variant>
        <vt:i4>645</vt:i4>
      </vt:variant>
      <vt:variant>
        <vt:i4>0</vt:i4>
      </vt:variant>
      <vt:variant>
        <vt:i4>5</vt:i4>
      </vt:variant>
      <vt:variant>
        <vt:lpwstr>https://www.ncbi.nlm.nih.gov/pmc/articles/PMC4144270/</vt:lpwstr>
      </vt:variant>
      <vt:variant>
        <vt:lpwstr>R28</vt:lpwstr>
      </vt:variant>
      <vt:variant>
        <vt:i4>1966080</vt:i4>
      </vt:variant>
      <vt:variant>
        <vt:i4>642</vt:i4>
      </vt:variant>
      <vt:variant>
        <vt:i4>0</vt:i4>
      </vt:variant>
      <vt:variant>
        <vt:i4>5</vt:i4>
      </vt:variant>
      <vt:variant>
        <vt:lpwstr>https://www.ncbi.nlm.nih.gov/pmc/articles/PMC4144270/</vt:lpwstr>
      </vt:variant>
      <vt:variant>
        <vt:lpwstr>R129</vt:lpwstr>
      </vt:variant>
      <vt:variant>
        <vt:i4>2031616</vt:i4>
      </vt:variant>
      <vt:variant>
        <vt:i4>639</vt:i4>
      </vt:variant>
      <vt:variant>
        <vt:i4>0</vt:i4>
      </vt:variant>
      <vt:variant>
        <vt:i4>5</vt:i4>
      </vt:variant>
      <vt:variant>
        <vt:lpwstr>https://www.ncbi.nlm.nih.gov/pmc/articles/PMC4144270/</vt:lpwstr>
      </vt:variant>
      <vt:variant>
        <vt:lpwstr>R128</vt:lpwstr>
      </vt:variant>
      <vt:variant>
        <vt:i4>1048576</vt:i4>
      </vt:variant>
      <vt:variant>
        <vt:i4>636</vt:i4>
      </vt:variant>
      <vt:variant>
        <vt:i4>0</vt:i4>
      </vt:variant>
      <vt:variant>
        <vt:i4>5</vt:i4>
      </vt:variant>
      <vt:variant>
        <vt:lpwstr>https://www.ncbi.nlm.nih.gov/pmc/articles/PMC4144270/</vt:lpwstr>
      </vt:variant>
      <vt:variant>
        <vt:lpwstr>R127</vt:lpwstr>
      </vt:variant>
      <vt:variant>
        <vt:i4>1114112</vt:i4>
      </vt:variant>
      <vt:variant>
        <vt:i4>633</vt:i4>
      </vt:variant>
      <vt:variant>
        <vt:i4>0</vt:i4>
      </vt:variant>
      <vt:variant>
        <vt:i4>5</vt:i4>
      </vt:variant>
      <vt:variant>
        <vt:lpwstr>https://www.ncbi.nlm.nih.gov/pmc/articles/PMC4144270/</vt:lpwstr>
      </vt:variant>
      <vt:variant>
        <vt:lpwstr>R126</vt:lpwstr>
      </vt:variant>
      <vt:variant>
        <vt:i4>1966082</vt:i4>
      </vt:variant>
      <vt:variant>
        <vt:i4>630</vt:i4>
      </vt:variant>
      <vt:variant>
        <vt:i4>0</vt:i4>
      </vt:variant>
      <vt:variant>
        <vt:i4>5</vt:i4>
      </vt:variant>
      <vt:variant>
        <vt:lpwstr>https://www.ncbi.nlm.nih.gov/pmc/articles/PMC4144270/</vt:lpwstr>
      </vt:variant>
      <vt:variant>
        <vt:lpwstr>R109</vt:lpwstr>
      </vt:variant>
      <vt:variant>
        <vt:i4>2031618</vt:i4>
      </vt:variant>
      <vt:variant>
        <vt:i4>627</vt:i4>
      </vt:variant>
      <vt:variant>
        <vt:i4>0</vt:i4>
      </vt:variant>
      <vt:variant>
        <vt:i4>5</vt:i4>
      </vt:variant>
      <vt:variant>
        <vt:lpwstr>https://www.ncbi.nlm.nih.gov/pmc/articles/PMC4144270/</vt:lpwstr>
      </vt:variant>
      <vt:variant>
        <vt:lpwstr>R108</vt:lpwstr>
      </vt:variant>
      <vt:variant>
        <vt:i4>1966082</vt:i4>
      </vt:variant>
      <vt:variant>
        <vt:i4>624</vt:i4>
      </vt:variant>
      <vt:variant>
        <vt:i4>0</vt:i4>
      </vt:variant>
      <vt:variant>
        <vt:i4>5</vt:i4>
      </vt:variant>
      <vt:variant>
        <vt:lpwstr>https://www.ncbi.nlm.nih.gov/pmc/articles/PMC4144270/</vt:lpwstr>
      </vt:variant>
      <vt:variant>
        <vt:lpwstr>R109</vt:lpwstr>
      </vt:variant>
      <vt:variant>
        <vt:i4>2031618</vt:i4>
      </vt:variant>
      <vt:variant>
        <vt:i4>621</vt:i4>
      </vt:variant>
      <vt:variant>
        <vt:i4>0</vt:i4>
      </vt:variant>
      <vt:variant>
        <vt:i4>5</vt:i4>
      </vt:variant>
      <vt:variant>
        <vt:lpwstr>https://www.ncbi.nlm.nih.gov/pmc/articles/PMC4144270/</vt:lpwstr>
      </vt:variant>
      <vt:variant>
        <vt:lpwstr>R108</vt:lpwstr>
      </vt:variant>
      <vt:variant>
        <vt:i4>3080242</vt:i4>
      </vt:variant>
      <vt:variant>
        <vt:i4>618</vt:i4>
      </vt:variant>
      <vt:variant>
        <vt:i4>0</vt:i4>
      </vt:variant>
      <vt:variant>
        <vt:i4>5</vt:i4>
      </vt:variant>
      <vt:variant>
        <vt:lpwstr>https://www.ncbi.nlm.nih.gov/pmc/articles/PMC4144270/</vt:lpwstr>
      </vt:variant>
      <vt:variant>
        <vt:lpwstr>R91</vt:lpwstr>
      </vt:variant>
      <vt:variant>
        <vt:i4>3080242</vt:i4>
      </vt:variant>
      <vt:variant>
        <vt:i4>615</vt:i4>
      </vt:variant>
      <vt:variant>
        <vt:i4>0</vt:i4>
      </vt:variant>
      <vt:variant>
        <vt:i4>5</vt:i4>
      </vt:variant>
      <vt:variant>
        <vt:lpwstr>https://www.ncbi.nlm.nih.gov/pmc/articles/PMC4144270/</vt:lpwstr>
      </vt:variant>
      <vt:variant>
        <vt:lpwstr>R91</vt:lpwstr>
      </vt:variant>
      <vt:variant>
        <vt:i4>3080242</vt:i4>
      </vt:variant>
      <vt:variant>
        <vt:i4>612</vt:i4>
      </vt:variant>
      <vt:variant>
        <vt:i4>0</vt:i4>
      </vt:variant>
      <vt:variant>
        <vt:i4>5</vt:i4>
      </vt:variant>
      <vt:variant>
        <vt:lpwstr>https://www.ncbi.nlm.nih.gov/pmc/articles/PMC4144270/</vt:lpwstr>
      </vt:variant>
      <vt:variant>
        <vt:lpwstr>R91</vt:lpwstr>
      </vt:variant>
      <vt:variant>
        <vt:i4>1114112</vt:i4>
      </vt:variant>
      <vt:variant>
        <vt:i4>609</vt:i4>
      </vt:variant>
      <vt:variant>
        <vt:i4>0</vt:i4>
      </vt:variant>
      <vt:variant>
        <vt:i4>5</vt:i4>
      </vt:variant>
      <vt:variant>
        <vt:lpwstr>https://www.ncbi.nlm.nih.gov/pmc/articles/PMC4144270/</vt:lpwstr>
      </vt:variant>
      <vt:variant>
        <vt:lpwstr>R126</vt:lpwstr>
      </vt:variant>
      <vt:variant>
        <vt:i4>1179648</vt:i4>
      </vt:variant>
      <vt:variant>
        <vt:i4>606</vt:i4>
      </vt:variant>
      <vt:variant>
        <vt:i4>0</vt:i4>
      </vt:variant>
      <vt:variant>
        <vt:i4>5</vt:i4>
      </vt:variant>
      <vt:variant>
        <vt:lpwstr>https://www.ncbi.nlm.nih.gov/pmc/articles/PMC4144270/</vt:lpwstr>
      </vt:variant>
      <vt:variant>
        <vt:lpwstr>R125</vt:lpwstr>
      </vt:variant>
      <vt:variant>
        <vt:i4>1245184</vt:i4>
      </vt:variant>
      <vt:variant>
        <vt:i4>603</vt:i4>
      </vt:variant>
      <vt:variant>
        <vt:i4>0</vt:i4>
      </vt:variant>
      <vt:variant>
        <vt:i4>5</vt:i4>
      </vt:variant>
      <vt:variant>
        <vt:lpwstr>https://www.ncbi.nlm.nih.gov/pmc/articles/PMC4144270/</vt:lpwstr>
      </vt:variant>
      <vt:variant>
        <vt:lpwstr>R124</vt:lpwstr>
      </vt:variant>
      <vt:variant>
        <vt:i4>1310720</vt:i4>
      </vt:variant>
      <vt:variant>
        <vt:i4>600</vt:i4>
      </vt:variant>
      <vt:variant>
        <vt:i4>0</vt:i4>
      </vt:variant>
      <vt:variant>
        <vt:i4>5</vt:i4>
      </vt:variant>
      <vt:variant>
        <vt:lpwstr>https://www.ncbi.nlm.nih.gov/pmc/articles/PMC4144270/</vt:lpwstr>
      </vt:variant>
      <vt:variant>
        <vt:lpwstr>R123</vt:lpwstr>
      </vt:variant>
      <vt:variant>
        <vt:i4>1376256</vt:i4>
      </vt:variant>
      <vt:variant>
        <vt:i4>597</vt:i4>
      </vt:variant>
      <vt:variant>
        <vt:i4>0</vt:i4>
      </vt:variant>
      <vt:variant>
        <vt:i4>5</vt:i4>
      </vt:variant>
      <vt:variant>
        <vt:lpwstr>https://www.ncbi.nlm.nih.gov/pmc/articles/PMC4144270/</vt:lpwstr>
      </vt:variant>
      <vt:variant>
        <vt:lpwstr>R122</vt:lpwstr>
      </vt:variant>
      <vt:variant>
        <vt:i4>1441792</vt:i4>
      </vt:variant>
      <vt:variant>
        <vt:i4>594</vt:i4>
      </vt:variant>
      <vt:variant>
        <vt:i4>0</vt:i4>
      </vt:variant>
      <vt:variant>
        <vt:i4>5</vt:i4>
      </vt:variant>
      <vt:variant>
        <vt:lpwstr>https://www.ncbi.nlm.nih.gov/pmc/articles/PMC4144270/</vt:lpwstr>
      </vt:variant>
      <vt:variant>
        <vt:lpwstr>R121</vt:lpwstr>
      </vt:variant>
      <vt:variant>
        <vt:i4>1507328</vt:i4>
      </vt:variant>
      <vt:variant>
        <vt:i4>591</vt:i4>
      </vt:variant>
      <vt:variant>
        <vt:i4>0</vt:i4>
      </vt:variant>
      <vt:variant>
        <vt:i4>5</vt:i4>
      </vt:variant>
      <vt:variant>
        <vt:lpwstr>https://www.ncbi.nlm.nih.gov/pmc/articles/PMC4144270/</vt:lpwstr>
      </vt:variant>
      <vt:variant>
        <vt:lpwstr>R120</vt:lpwstr>
      </vt:variant>
      <vt:variant>
        <vt:i4>1966083</vt:i4>
      </vt:variant>
      <vt:variant>
        <vt:i4>588</vt:i4>
      </vt:variant>
      <vt:variant>
        <vt:i4>0</vt:i4>
      </vt:variant>
      <vt:variant>
        <vt:i4>5</vt:i4>
      </vt:variant>
      <vt:variant>
        <vt:lpwstr>https://www.ncbi.nlm.nih.gov/pmc/articles/PMC4144270/</vt:lpwstr>
      </vt:variant>
      <vt:variant>
        <vt:lpwstr>R119</vt:lpwstr>
      </vt:variant>
      <vt:variant>
        <vt:i4>2031619</vt:i4>
      </vt:variant>
      <vt:variant>
        <vt:i4>585</vt:i4>
      </vt:variant>
      <vt:variant>
        <vt:i4>0</vt:i4>
      </vt:variant>
      <vt:variant>
        <vt:i4>5</vt:i4>
      </vt:variant>
      <vt:variant>
        <vt:lpwstr>https://www.ncbi.nlm.nih.gov/pmc/articles/PMC4144270/</vt:lpwstr>
      </vt:variant>
      <vt:variant>
        <vt:lpwstr>R118</vt:lpwstr>
      </vt:variant>
      <vt:variant>
        <vt:i4>1048579</vt:i4>
      </vt:variant>
      <vt:variant>
        <vt:i4>582</vt:i4>
      </vt:variant>
      <vt:variant>
        <vt:i4>0</vt:i4>
      </vt:variant>
      <vt:variant>
        <vt:i4>5</vt:i4>
      </vt:variant>
      <vt:variant>
        <vt:lpwstr>https://www.ncbi.nlm.nih.gov/pmc/articles/PMC4144270/</vt:lpwstr>
      </vt:variant>
      <vt:variant>
        <vt:lpwstr>R117</vt:lpwstr>
      </vt:variant>
      <vt:variant>
        <vt:i4>1114115</vt:i4>
      </vt:variant>
      <vt:variant>
        <vt:i4>579</vt:i4>
      </vt:variant>
      <vt:variant>
        <vt:i4>0</vt:i4>
      </vt:variant>
      <vt:variant>
        <vt:i4>5</vt:i4>
      </vt:variant>
      <vt:variant>
        <vt:lpwstr>https://www.ncbi.nlm.nih.gov/pmc/articles/PMC4144270/</vt:lpwstr>
      </vt:variant>
      <vt:variant>
        <vt:lpwstr>R116</vt:lpwstr>
      </vt:variant>
      <vt:variant>
        <vt:i4>1179651</vt:i4>
      </vt:variant>
      <vt:variant>
        <vt:i4>576</vt:i4>
      </vt:variant>
      <vt:variant>
        <vt:i4>0</vt:i4>
      </vt:variant>
      <vt:variant>
        <vt:i4>5</vt:i4>
      </vt:variant>
      <vt:variant>
        <vt:lpwstr>https://www.ncbi.nlm.nih.gov/pmc/articles/PMC4144270/</vt:lpwstr>
      </vt:variant>
      <vt:variant>
        <vt:lpwstr>R115</vt:lpwstr>
      </vt:variant>
      <vt:variant>
        <vt:i4>1310723</vt:i4>
      </vt:variant>
      <vt:variant>
        <vt:i4>573</vt:i4>
      </vt:variant>
      <vt:variant>
        <vt:i4>0</vt:i4>
      </vt:variant>
      <vt:variant>
        <vt:i4>5</vt:i4>
      </vt:variant>
      <vt:variant>
        <vt:lpwstr>https://www.ncbi.nlm.nih.gov/pmc/articles/PMC4144270/</vt:lpwstr>
      </vt:variant>
      <vt:variant>
        <vt:lpwstr>R113</vt:lpwstr>
      </vt:variant>
      <vt:variant>
        <vt:i4>1376259</vt:i4>
      </vt:variant>
      <vt:variant>
        <vt:i4>570</vt:i4>
      </vt:variant>
      <vt:variant>
        <vt:i4>0</vt:i4>
      </vt:variant>
      <vt:variant>
        <vt:i4>5</vt:i4>
      </vt:variant>
      <vt:variant>
        <vt:lpwstr>https://www.ncbi.nlm.nih.gov/pmc/articles/PMC4144270/</vt:lpwstr>
      </vt:variant>
      <vt:variant>
        <vt:lpwstr>R112</vt:lpwstr>
      </vt:variant>
      <vt:variant>
        <vt:i4>1441795</vt:i4>
      </vt:variant>
      <vt:variant>
        <vt:i4>567</vt:i4>
      </vt:variant>
      <vt:variant>
        <vt:i4>0</vt:i4>
      </vt:variant>
      <vt:variant>
        <vt:i4>5</vt:i4>
      </vt:variant>
      <vt:variant>
        <vt:lpwstr>https://www.ncbi.nlm.nih.gov/pmc/articles/PMC4144270/</vt:lpwstr>
      </vt:variant>
      <vt:variant>
        <vt:lpwstr>R111</vt:lpwstr>
      </vt:variant>
      <vt:variant>
        <vt:i4>1507331</vt:i4>
      </vt:variant>
      <vt:variant>
        <vt:i4>564</vt:i4>
      </vt:variant>
      <vt:variant>
        <vt:i4>0</vt:i4>
      </vt:variant>
      <vt:variant>
        <vt:i4>5</vt:i4>
      </vt:variant>
      <vt:variant>
        <vt:lpwstr>https://www.ncbi.nlm.nih.gov/pmc/articles/PMC4144270/</vt:lpwstr>
      </vt:variant>
      <vt:variant>
        <vt:lpwstr>R110</vt:lpwstr>
      </vt:variant>
      <vt:variant>
        <vt:i4>1966082</vt:i4>
      </vt:variant>
      <vt:variant>
        <vt:i4>561</vt:i4>
      </vt:variant>
      <vt:variant>
        <vt:i4>0</vt:i4>
      </vt:variant>
      <vt:variant>
        <vt:i4>5</vt:i4>
      </vt:variant>
      <vt:variant>
        <vt:lpwstr>https://www.ncbi.nlm.nih.gov/pmc/articles/PMC4144270/</vt:lpwstr>
      </vt:variant>
      <vt:variant>
        <vt:lpwstr>R109</vt:lpwstr>
      </vt:variant>
      <vt:variant>
        <vt:i4>2031618</vt:i4>
      </vt:variant>
      <vt:variant>
        <vt:i4>558</vt:i4>
      </vt:variant>
      <vt:variant>
        <vt:i4>0</vt:i4>
      </vt:variant>
      <vt:variant>
        <vt:i4>5</vt:i4>
      </vt:variant>
      <vt:variant>
        <vt:lpwstr>https://www.ncbi.nlm.nih.gov/pmc/articles/PMC4144270/</vt:lpwstr>
      </vt:variant>
      <vt:variant>
        <vt:lpwstr>R108</vt:lpwstr>
      </vt:variant>
      <vt:variant>
        <vt:i4>1048578</vt:i4>
      </vt:variant>
      <vt:variant>
        <vt:i4>555</vt:i4>
      </vt:variant>
      <vt:variant>
        <vt:i4>0</vt:i4>
      </vt:variant>
      <vt:variant>
        <vt:i4>5</vt:i4>
      </vt:variant>
      <vt:variant>
        <vt:lpwstr>https://www.ncbi.nlm.nih.gov/pmc/articles/PMC4144270/</vt:lpwstr>
      </vt:variant>
      <vt:variant>
        <vt:lpwstr>R107</vt:lpwstr>
      </vt:variant>
      <vt:variant>
        <vt:i4>1114114</vt:i4>
      </vt:variant>
      <vt:variant>
        <vt:i4>552</vt:i4>
      </vt:variant>
      <vt:variant>
        <vt:i4>0</vt:i4>
      </vt:variant>
      <vt:variant>
        <vt:i4>5</vt:i4>
      </vt:variant>
      <vt:variant>
        <vt:lpwstr>https://www.ncbi.nlm.nih.gov/pmc/articles/PMC4144270/</vt:lpwstr>
      </vt:variant>
      <vt:variant>
        <vt:lpwstr>R106</vt:lpwstr>
      </vt:variant>
      <vt:variant>
        <vt:i4>1179650</vt:i4>
      </vt:variant>
      <vt:variant>
        <vt:i4>549</vt:i4>
      </vt:variant>
      <vt:variant>
        <vt:i4>0</vt:i4>
      </vt:variant>
      <vt:variant>
        <vt:i4>5</vt:i4>
      </vt:variant>
      <vt:variant>
        <vt:lpwstr>https://www.ncbi.nlm.nih.gov/pmc/articles/PMC4144270/</vt:lpwstr>
      </vt:variant>
      <vt:variant>
        <vt:lpwstr>R105</vt:lpwstr>
      </vt:variant>
      <vt:variant>
        <vt:i4>1179650</vt:i4>
      </vt:variant>
      <vt:variant>
        <vt:i4>546</vt:i4>
      </vt:variant>
      <vt:variant>
        <vt:i4>0</vt:i4>
      </vt:variant>
      <vt:variant>
        <vt:i4>5</vt:i4>
      </vt:variant>
      <vt:variant>
        <vt:lpwstr>https://www.ncbi.nlm.nih.gov/pmc/articles/PMC4144270/</vt:lpwstr>
      </vt:variant>
      <vt:variant>
        <vt:lpwstr>R105</vt:lpwstr>
      </vt:variant>
      <vt:variant>
        <vt:i4>1245186</vt:i4>
      </vt:variant>
      <vt:variant>
        <vt:i4>543</vt:i4>
      </vt:variant>
      <vt:variant>
        <vt:i4>0</vt:i4>
      </vt:variant>
      <vt:variant>
        <vt:i4>5</vt:i4>
      </vt:variant>
      <vt:variant>
        <vt:lpwstr>https://www.ncbi.nlm.nih.gov/pmc/articles/PMC4144270/</vt:lpwstr>
      </vt:variant>
      <vt:variant>
        <vt:lpwstr>R104</vt:lpwstr>
      </vt:variant>
      <vt:variant>
        <vt:i4>1310722</vt:i4>
      </vt:variant>
      <vt:variant>
        <vt:i4>540</vt:i4>
      </vt:variant>
      <vt:variant>
        <vt:i4>0</vt:i4>
      </vt:variant>
      <vt:variant>
        <vt:i4>5</vt:i4>
      </vt:variant>
      <vt:variant>
        <vt:lpwstr>https://www.ncbi.nlm.nih.gov/pmc/articles/PMC4144270/</vt:lpwstr>
      </vt:variant>
      <vt:variant>
        <vt:lpwstr>R103</vt:lpwstr>
      </vt:variant>
      <vt:variant>
        <vt:i4>1376258</vt:i4>
      </vt:variant>
      <vt:variant>
        <vt:i4>537</vt:i4>
      </vt:variant>
      <vt:variant>
        <vt:i4>0</vt:i4>
      </vt:variant>
      <vt:variant>
        <vt:i4>5</vt:i4>
      </vt:variant>
      <vt:variant>
        <vt:lpwstr>https://www.ncbi.nlm.nih.gov/pmc/articles/PMC4144270/</vt:lpwstr>
      </vt:variant>
      <vt:variant>
        <vt:lpwstr>R102</vt:lpwstr>
      </vt:variant>
      <vt:variant>
        <vt:i4>1376258</vt:i4>
      </vt:variant>
      <vt:variant>
        <vt:i4>534</vt:i4>
      </vt:variant>
      <vt:variant>
        <vt:i4>0</vt:i4>
      </vt:variant>
      <vt:variant>
        <vt:i4>5</vt:i4>
      </vt:variant>
      <vt:variant>
        <vt:lpwstr>https://www.ncbi.nlm.nih.gov/pmc/articles/PMC4144270/</vt:lpwstr>
      </vt:variant>
      <vt:variant>
        <vt:lpwstr>R102</vt:lpwstr>
      </vt:variant>
      <vt:variant>
        <vt:i4>1441794</vt:i4>
      </vt:variant>
      <vt:variant>
        <vt:i4>531</vt:i4>
      </vt:variant>
      <vt:variant>
        <vt:i4>0</vt:i4>
      </vt:variant>
      <vt:variant>
        <vt:i4>5</vt:i4>
      </vt:variant>
      <vt:variant>
        <vt:lpwstr>https://www.ncbi.nlm.nih.gov/pmc/articles/PMC4144270/</vt:lpwstr>
      </vt:variant>
      <vt:variant>
        <vt:lpwstr>R101</vt:lpwstr>
      </vt:variant>
      <vt:variant>
        <vt:i4>1507330</vt:i4>
      </vt:variant>
      <vt:variant>
        <vt:i4>528</vt:i4>
      </vt:variant>
      <vt:variant>
        <vt:i4>0</vt:i4>
      </vt:variant>
      <vt:variant>
        <vt:i4>5</vt:i4>
      </vt:variant>
      <vt:variant>
        <vt:lpwstr>https://www.ncbi.nlm.nih.gov/pmc/articles/PMC4144270/</vt:lpwstr>
      </vt:variant>
      <vt:variant>
        <vt:lpwstr>R100</vt:lpwstr>
      </vt:variant>
      <vt:variant>
        <vt:i4>3080242</vt:i4>
      </vt:variant>
      <vt:variant>
        <vt:i4>525</vt:i4>
      </vt:variant>
      <vt:variant>
        <vt:i4>0</vt:i4>
      </vt:variant>
      <vt:variant>
        <vt:i4>5</vt:i4>
      </vt:variant>
      <vt:variant>
        <vt:lpwstr>https://www.ncbi.nlm.nih.gov/pmc/articles/PMC4144270/</vt:lpwstr>
      </vt:variant>
      <vt:variant>
        <vt:lpwstr>R99</vt:lpwstr>
      </vt:variant>
      <vt:variant>
        <vt:i4>3080242</vt:i4>
      </vt:variant>
      <vt:variant>
        <vt:i4>522</vt:i4>
      </vt:variant>
      <vt:variant>
        <vt:i4>0</vt:i4>
      </vt:variant>
      <vt:variant>
        <vt:i4>5</vt:i4>
      </vt:variant>
      <vt:variant>
        <vt:lpwstr>https://www.ncbi.nlm.nih.gov/pmc/articles/PMC4144270/</vt:lpwstr>
      </vt:variant>
      <vt:variant>
        <vt:lpwstr>R97</vt:lpwstr>
      </vt:variant>
      <vt:variant>
        <vt:i4>3080242</vt:i4>
      </vt:variant>
      <vt:variant>
        <vt:i4>519</vt:i4>
      </vt:variant>
      <vt:variant>
        <vt:i4>0</vt:i4>
      </vt:variant>
      <vt:variant>
        <vt:i4>5</vt:i4>
      </vt:variant>
      <vt:variant>
        <vt:lpwstr>https://www.ncbi.nlm.nih.gov/pmc/articles/PMC4144270/</vt:lpwstr>
      </vt:variant>
      <vt:variant>
        <vt:lpwstr>R96</vt:lpwstr>
      </vt:variant>
      <vt:variant>
        <vt:i4>3080242</vt:i4>
      </vt:variant>
      <vt:variant>
        <vt:i4>516</vt:i4>
      </vt:variant>
      <vt:variant>
        <vt:i4>0</vt:i4>
      </vt:variant>
      <vt:variant>
        <vt:i4>5</vt:i4>
      </vt:variant>
      <vt:variant>
        <vt:lpwstr>https://www.ncbi.nlm.nih.gov/pmc/articles/PMC4144270/</vt:lpwstr>
      </vt:variant>
      <vt:variant>
        <vt:lpwstr>R95</vt:lpwstr>
      </vt:variant>
      <vt:variant>
        <vt:i4>3080242</vt:i4>
      </vt:variant>
      <vt:variant>
        <vt:i4>513</vt:i4>
      </vt:variant>
      <vt:variant>
        <vt:i4>0</vt:i4>
      </vt:variant>
      <vt:variant>
        <vt:i4>5</vt:i4>
      </vt:variant>
      <vt:variant>
        <vt:lpwstr>https://www.ncbi.nlm.nih.gov/pmc/articles/PMC4144270/</vt:lpwstr>
      </vt:variant>
      <vt:variant>
        <vt:lpwstr>R94</vt:lpwstr>
      </vt:variant>
      <vt:variant>
        <vt:i4>3080242</vt:i4>
      </vt:variant>
      <vt:variant>
        <vt:i4>510</vt:i4>
      </vt:variant>
      <vt:variant>
        <vt:i4>0</vt:i4>
      </vt:variant>
      <vt:variant>
        <vt:i4>5</vt:i4>
      </vt:variant>
      <vt:variant>
        <vt:lpwstr>https://www.ncbi.nlm.nih.gov/pmc/articles/PMC4144270/</vt:lpwstr>
      </vt:variant>
      <vt:variant>
        <vt:lpwstr>R93</vt:lpwstr>
      </vt:variant>
      <vt:variant>
        <vt:i4>3080242</vt:i4>
      </vt:variant>
      <vt:variant>
        <vt:i4>507</vt:i4>
      </vt:variant>
      <vt:variant>
        <vt:i4>0</vt:i4>
      </vt:variant>
      <vt:variant>
        <vt:i4>5</vt:i4>
      </vt:variant>
      <vt:variant>
        <vt:lpwstr>https://www.ncbi.nlm.nih.gov/pmc/articles/PMC4144270/</vt:lpwstr>
      </vt:variant>
      <vt:variant>
        <vt:lpwstr>R92</vt:lpwstr>
      </vt:variant>
      <vt:variant>
        <vt:i4>3080242</vt:i4>
      </vt:variant>
      <vt:variant>
        <vt:i4>504</vt:i4>
      </vt:variant>
      <vt:variant>
        <vt:i4>0</vt:i4>
      </vt:variant>
      <vt:variant>
        <vt:i4>5</vt:i4>
      </vt:variant>
      <vt:variant>
        <vt:lpwstr>https://www.ncbi.nlm.nih.gov/pmc/articles/PMC4144270/</vt:lpwstr>
      </vt:variant>
      <vt:variant>
        <vt:lpwstr>R91</vt:lpwstr>
      </vt:variant>
      <vt:variant>
        <vt:i4>3080242</vt:i4>
      </vt:variant>
      <vt:variant>
        <vt:i4>501</vt:i4>
      </vt:variant>
      <vt:variant>
        <vt:i4>0</vt:i4>
      </vt:variant>
      <vt:variant>
        <vt:i4>5</vt:i4>
      </vt:variant>
      <vt:variant>
        <vt:lpwstr>https://www.ncbi.nlm.nih.gov/pmc/articles/PMC4144270/</vt:lpwstr>
      </vt:variant>
      <vt:variant>
        <vt:lpwstr>R90</vt:lpwstr>
      </vt:variant>
      <vt:variant>
        <vt:i4>3014706</vt:i4>
      </vt:variant>
      <vt:variant>
        <vt:i4>498</vt:i4>
      </vt:variant>
      <vt:variant>
        <vt:i4>0</vt:i4>
      </vt:variant>
      <vt:variant>
        <vt:i4>5</vt:i4>
      </vt:variant>
      <vt:variant>
        <vt:lpwstr>https://www.ncbi.nlm.nih.gov/pmc/articles/PMC4144270/</vt:lpwstr>
      </vt:variant>
      <vt:variant>
        <vt:lpwstr>R89</vt:lpwstr>
      </vt:variant>
      <vt:variant>
        <vt:i4>3014706</vt:i4>
      </vt:variant>
      <vt:variant>
        <vt:i4>495</vt:i4>
      </vt:variant>
      <vt:variant>
        <vt:i4>0</vt:i4>
      </vt:variant>
      <vt:variant>
        <vt:i4>5</vt:i4>
      </vt:variant>
      <vt:variant>
        <vt:lpwstr>https://www.ncbi.nlm.nih.gov/pmc/articles/PMC4144270/</vt:lpwstr>
      </vt:variant>
      <vt:variant>
        <vt:lpwstr>R88</vt:lpwstr>
      </vt:variant>
      <vt:variant>
        <vt:i4>3014706</vt:i4>
      </vt:variant>
      <vt:variant>
        <vt:i4>492</vt:i4>
      </vt:variant>
      <vt:variant>
        <vt:i4>0</vt:i4>
      </vt:variant>
      <vt:variant>
        <vt:i4>5</vt:i4>
      </vt:variant>
      <vt:variant>
        <vt:lpwstr>https://www.ncbi.nlm.nih.gov/pmc/articles/PMC4144270/</vt:lpwstr>
      </vt:variant>
      <vt:variant>
        <vt:lpwstr>R87</vt:lpwstr>
      </vt:variant>
      <vt:variant>
        <vt:i4>2097202</vt:i4>
      </vt:variant>
      <vt:variant>
        <vt:i4>489</vt:i4>
      </vt:variant>
      <vt:variant>
        <vt:i4>0</vt:i4>
      </vt:variant>
      <vt:variant>
        <vt:i4>5</vt:i4>
      </vt:variant>
      <vt:variant>
        <vt:lpwstr>https://www.ncbi.nlm.nih.gov/pmc/articles/PMC4144270/</vt:lpwstr>
      </vt:variant>
      <vt:variant>
        <vt:lpwstr>R68</vt:lpwstr>
      </vt:variant>
      <vt:variant>
        <vt:i4>2228274</vt:i4>
      </vt:variant>
      <vt:variant>
        <vt:i4>486</vt:i4>
      </vt:variant>
      <vt:variant>
        <vt:i4>0</vt:i4>
      </vt:variant>
      <vt:variant>
        <vt:i4>5</vt:i4>
      </vt:variant>
      <vt:variant>
        <vt:lpwstr>https://www.ncbi.nlm.nih.gov/pmc/articles/PMC4144270/</vt:lpwstr>
      </vt:variant>
      <vt:variant>
        <vt:lpwstr>R42</vt:lpwstr>
      </vt:variant>
      <vt:variant>
        <vt:i4>3014706</vt:i4>
      </vt:variant>
      <vt:variant>
        <vt:i4>483</vt:i4>
      </vt:variant>
      <vt:variant>
        <vt:i4>0</vt:i4>
      </vt:variant>
      <vt:variant>
        <vt:i4>5</vt:i4>
      </vt:variant>
      <vt:variant>
        <vt:lpwstr>https://www.ncbi.nlm.nih.gov/pmc/articles/PMC4144270/</vt:lpwstr>
      </vt:variant>
      <vt:variant>
        <vt:lpwstr>R86</vt:lpwstr>
      </vt:variant>
      <vt:variant>
        <vt:i4>3014706</vt:i4>
      </vt:variant>
      <vt:variant>
        <vt:i4>480</vt:i4>
      </vt:variant>
      <vt:variant>
        <vt:i4>0</vt:i4>
      </vt:variant>
      <vt:variant>
        <vt:i4>5</vt:i4>
      </vt:variant>
      <vt:variant>
        <vt:lpwstr>https://www.ncbi.nlm.nih.gov/pmc/articles/PMC4144270/</vt:lpwstr>
      </vt:variant>
      <vt:variant>
        <vt:lpwstr>R84</vt:lpwstr>
      </vt:variant>
      <vt:variant>
        <vt:i4>3014706</vt:i4>
      </vt:variant>
      <vt:variant>
        <vt:i4>477</vt:i4>
      </vt:variant>
      <vt:variant>
        <vt:i4>0</vt:i4>
      </vt:variant>
      <vt:variant>
        <vt:i4>5</vt:i4>
      </vt:variant>
      <vt:variant>
        <vt:lpwstr>https://www.ncbi.nlm.nih.gov/pmc/articles/PMC4144270/</vt:lpwstr>
      </vt:variant>
      <vt:variant>
        <vt:lpwstr>R83</vt:lpwstr>
      </vt:variant>
      <vt:variant>
        <vt:i4>3014706</vt:i4>
      </vt:variant>
      <vt:variant>
        <vt:i4>474</vt:i4>
      </vt:variant>
      <vt:variant>
        <vt:i4>0</vt:i4>
      </vt:variant>
      <vt:variant>
        <vt:i4>5</vt:i4>
      </vt:variant>
      <vt:variant>
        <vt:lpwstr>https://www.ncbi.nlm.nih.gov/pmc/articles/PMC4144270/</vt:lpwstr>
      </vt:variant>
      <vt:variant>
        <vt:lpwstr>R82</vt:lpwstr>
      </vt:variant>
      <vt:variant>
        <vt:i4>3014706</vt:i4>
      </vt:variant>
      <vt:variant>
        <vt:i4>471</vt:i4>
      </vt:variant>
      <vt:variant>
        <vt:i4>0</vt:i4>
      </vt:variant>
      <vt:variant>
        <vt:i4>5</vt:i4>
      </vt:variant>
      <vt:variant>
        <vt:lpwstr>https://www.ncbi.nlm.nih.gov/pmc/articles/PMC4144270/</vt:lpwstr>
      </vt:variant>
      <vt:variant>
        <vt:lpwstr>R81</vt:lpwstr>
      </vt:variant>
      <vt:variant>
        <vt:i4>3014706</vt:i4>
      </vt:variant>
      <vt:variant>
        <vt:i4>468</vt:i4>
      </vt:variant>
      <vt:variant>
        <vt:i4>0</vt:i4>
      </vt:variant>
      <vt:variant>
        <vt:i4>5</vt:i4>
      </vt:variant>
      <vt:variant>
        <vt:lpwstr>https://www.ncbi.nlm.nih.gov/pmc/articles/PMC4144270/</vt:lpwstr>
      </vt:variant>
      <vt:variant>
        <vt:lpwstr>R80</vt:lpwstr>
      </vt:variant>
      <vt:variant>
        <vt:i4>2162738</vt:i4>
      </vt:variant>
      <vt:variant>
        <vt:i4>465</vt:i4>
      </vt:variant>
      <vt:variant>
        <vt:i4>0</vt:i4>
      </vt:variant>
      <vt:variant>
        <vt:i4>5</vt:i4>
      </vt:variant>
      <vt:variant>
        <vt:lpwstr>https://www.ncbi.nlm.nih.gov/pmc/articles/PMC4144270/</vt:lpwstr>
      </vt:variant>
      <vt:variant>
        <vt:lpwstr>R79</vt:lpwstr>
      </vt:variant>
      <vt:variant>
        <vt:i4>2162738</vt:i4>
      </vt:variant>
      <vt:variant>
        <vt:i4>462</vt:i4>
      </vt:variant>
      <vt:variant>
        <vt:i4>0</vt:i4>
      </vt:variant>
      <vt:variant>
        <vt:i4>5</vt:i4>
      </vt:variant>
      <vt:variant>
        <vt:lpwstr>https://www.ncbi.nlm.nih.gov/pmc/articles/PMC4144270/</vt:lpwstr>
      </vt:variant>
      <vt:variant>
        <vt:lpwstr>R78</vt:lpwstr>
      </vt:variant>
      <vt:variant>
        <vt:i4>2162738</vt:i4>
      </vt:variant>
      <vt:variant>
        <vt:i4>459</vt:i4>
      </vt:variant>
      <vt:variant>
        <vt:i4>0</vt:i4>
      </vt:variant>
      <vt:variant>
        <vt:i4>5</vt:i4>
      </vt:variant>
      <vt:variant>
        <vt:lpwstr>https://www.ncbi.nlm.nih.gov/pmc/articles/PMC4144270/</vt:lpwstr>
      </vt:variant>
      <vt:variant>
        <vt:lpwstr>R77</vt:lpwstr>
      </vt:variant>
      <vt:variant>
        <vt:i4>2162738</vt:i4>
      </vt:variant>
      <vt:variant>
        <vt:i4>456</vt:i4>
      </vt:variant>
      <vt:variant>
        <vt:i4>0</vt:i4>
      </vt:variant>
      <vt:variant>
        <vt:i4>5</vt:i4>
      </vt:variant>
      <vt:variant>
        <vt:lpwstr>https://www.ncbi.nlm.nih.gov/pmc/articles/PMC4144270/</vt:lpwstr>
      </vt:variant>
      <vt:variant>
        <vt:lpwstr>R76</vt:lpwstr>
      </vt:variant>
      <vt:variant>
        <vt:i4>2162738</vt:i4>
      </vt:variant>
      <vt:variant>
        <vt:i4>453</vt:i4>
      </vt:variant>
      <vt:variant>
        <vt:i4>0</vt:i4>
      </vt:variant>
      <vt:variant>
        <vt:i4>5</vt:i4>
      </vt:variant>
      <vt:variant>
        <vt:lpwstr>https://www.ncbi.nlm.nih.gov/pmc/articles/PMC4144270/</vt:lpwstr>
      </vt:variant>
      <vt:variant>
        <vt:lpwstr>R75</vt:lpwstr>
      </vt:variant>
      <vt:variant>
        <vt:i4>2162738</vt:i4>
      </vt:variant>
      <vt:variant>
        <vt:i4>450</vt:i4>
      </vt:variant>
      <vt:variant>
        <vt:i4>0</vt:i4>
      </vt:variant>
      <vt:variant>
        <vt:i4>5</vt:i4>
      </vt:variant>
      <vt:variant>
        <vt:lpwstr>https://www.ncbi.nlm.nih.gov/pmc/articles/PMC4144270/</vt:lpwstr>
      </vt:variant>
      <vt:variant>
        <vt:lpwstr>R74</vt:lpwstr>
      </vt:variant>
      <vt:variant>
        <vt:i4>2162738</vt:i4>
      </vt:variant>
      <vt:variant>
        <vt:i4>447</vt:i4>
      </vt:variant>
      <vt:variant>
        <vt:i4>0</vt:i4>
      </vt:variant>
      <vt:variant>
        <vt:i4>5</vt:i4>
      </vt:variant>
      <vt:variant>
        <vt:lpwstr>https://www.ncbi.nlm.nih.gov/pmc/articles/PMC4144270/</vt:lpwstr>
      </vt:variant>
      <vt:variant>
        <vt:lpwstr>R73</vt:lpwstr>
      </vt:variant>
      <vt:variant>
        <vt:i4>2162738</vt:i4>
      </vt:variant>
      <vt:variant>
        <vt:i4>444</vt:i4>
      </vt:variant>
      <vt:variant>
        <vt:i4>0</vt:i4>
      </vt:variant>
      <vt:variant>
        <vt:i4>5</vt:i4>
      </vt:variant>
      <vt:variant>
        <vt:lpwstr>https://www.ncbi.nlm.nih.gov/pmc/articles/PMC4144270/</vt:lpwstr>
      </vt:variant>
      <vt:variant>
        <vt:lpwstr>R72</vt:lpwstr>
      </vt:variant>
      <vt:variant>
        <vt:i4>2162738</vt:i4>
      </vt:variant>
      <vt:variant>
        <vt:i4>441</vt:i4>
      </vt:variant>
      <vt:variant>
        <vt:i4>0</vt:i4>
      </vt:variant>
      <vt:variant>
        <vt:i4>5</vt:i4>
      </vt:variant>
      <vt:variant>
        <vt:lpwstr>https://www.ncbi.nlm.nih.gov/pmc/articles/PMC4144270/</vt:lpwstr>
      </vt:variant>
      <vt:variant>
        <vt:lpwstr>R71</vt:lpwstr>
      </vt:variant>
      <vt:variant>
        <vt:i4>2162738</vt:i4>
      </vt:variant>
      <vt:variant>
        <vt:i4>438</vt:i4>
      </vt:variant>
      <vt:variant>
        <vt:i4>0</vt:i4>
      </vt:variant>
      <vt:variant>
        <vt:i4>5</vt:i4>
      </vt:variant>
      <vt:variant>
        <vt:lpwstr>https://www.ncbi.nlm.nih.gov/pmc/articles/PMC4144270/</vt:lpwstr>
      </vt:variant>
      <vt:variant>
        <vt:lpwstr>R70</vt:lpwstr>
      </vt:variant>
      <vt:variant>
        <vt:i4>2097202</vt:i4>
      </vt:variant>
      <vt:variant>
        <vt:i4>435</vt:i4>
      </vt:variant>
      <vt:variant>
        <vt:i4>0</vt:i4>
      </vt:variant>
      <vt:variant>
        <vt:i4>5</vt:i4>
      </vt:variant>
      <vt:variant>
        <vt:lpwstr>https://www.ncbi.nlm.nih.gov/pmc/articles/PMC4144270/</vt:lpwstr>
      </vt:variant>
      <vt:variant>
        <vt:lpwstr>R69</vt:lpwstr>
      </vt:variant>
      <vt:variant>
        <vt:i4>2097202</vt:i4>
      </vt:variant>
      <vt:variant>
        <vt:i4>432</vt:i4>
      </vt:variant>
      <vt:variant>
        <vt:i4>0</vt:i4>
      </vt:variant>
      <vt:variant>
        <vt:i4>5</vt:i4>
      </vt:variant>
      <vt:variant>
        <vt:lpwstr>https://www.ncbi.nlm.nih.gov/pmc/articles/PMC4144270/</vt:lpwstr>
      </vt:variant>
      <vt:variant>
        <vt:lpwstr>R68</vt:lpwstr>
      </vt:variant>
      <vt:variant>
        <vt:i4>2097202</vt:i4>
      </vt:variant>
      <vt:variant>
        <vt:i4>429</vt:i4>
      </vt:variant>
      <vt:variant>
        <vt:i4>0</vt:i4>
      </vt:variant>
      <vt:variant>
        <vt:i4>5</vt:i4>
      </vt:variant>
      <vt:variant>
        <vt:lpwstr>https://www.ncbi.nlm.nih.gov/pmc/articles/PMC4144270/</vt:lpwstr>
      </vt:variant>
      <vt:variant>
        <vt:lpwstr>R66</vt:lpwstr>
      </vt:variant>
      <vt:variant>
        <vt:i4>2097202</vt:i4>
      </vt:variant>
      <vt:variant>
        <vt:i4>426</vt:i4>
      </vt:variant>
      <vt:variant>
        <vt:i4>0</vt:i4>
      </vt:variant>
      <vt:variant>
        <vt:i4>5</vt:i4>
      </vt:variant>
      <vt:variant>
        <vt:lpwstr>https://www.ncbi.nlm.nih.gov/pmc/articles/PMC4144270/</vt:lpwstr>
      </vt:variant>
      <vt:variant>
        <vt:lpwstr>R65</vt:lpwstr>
      </vt:variant>
      <vt:variant>
        <vt:i4>2097202</vt:i4>
      </vt:variant>
      <vt:variant>
        <vt:i4>423</vt:i4>
      </vt:variant>
      <vt:variant>
        <vt:i4>0</vt:i4>
      </vt:variant>
      <vt:variant>
        <vt:i4>5</vt:i4>
      </vt:variant>
      <vt:variant>
        <vt:lpwstr>https://www.ncbi.nlm.nih.gov/pmc/articles/PMC4144270/</vt:lpwstr>
      </vt:variant>
      <vt:variant>
        <vt:lpwstr>R64</vt:lpwstr>
      </vt:variant>
      <vt:variant>
        <vt:i4>2097202</vt:i4>
      </vt:variant>
      <vt:variant>
        <vt:i4>420</vt:i4>
      </vt:variant>
      <vt:variant>
        <vt:i4>0</vt:i4>
      </vt:variant>
      <vt:variant>
        <vt:i4>5</vt:i4>
      </vt:variant>
      <vt:variant>
        <vt:lpwstr>https://www.ncbi.nlm.nih.gov/pmc/articles/PMC4144270/</vt:lpwstr>
      </vt:variant>
      <vt:variant>
        <vt:lpwstr>R63</vt:lpwstr>
      </vt:variant>
      <vt:variant>
        <vt:i4>2097202</vt:i4>
      </vt:variant>
      <vt:variant>
        <vt:i4>417</vt:i4>
      </vt:variant>
      <vt:variant>
        <vt:i4>0</vt:i4>
      </vt:variant>
      <vt:variant>
        <vt:i4>5</vt:i4>
      </vt:variant>
      <vt:variant>
        <vt:lpwstr>https://www.ncbi.nlm.nih.gov/pmc/articles/PMC4144270/</vt:lpwstr>
      </vt:variant>
      <vt:variant>
        <vt:lpwstr>R62</vt:lpwstr>
      </vt:variant>
      <vt:variant>
        <vt:i4>2097202</vt:i4>
      </vt:variant>
      <vt:variant>
        <vt:i4>414</vt:i4>
      </vt:variant>
      <vt:variant>
        <vt:i4>0</vt:i4>
      </vt:variant>
      <vt:variant>
        <vt:i4>5</vt:i4>
      </vt:variant>
      <vt:variant>
        <vt:lpwstr>https://www.ncbi.nlm.nih.gov/pmc/articles/PMC4144270/</vt:lpwstr>
      </vt:variant>
      <vt:variant>
        <vt:lpwstr>R61</vt:lpwstr>
      </vt:variant>
      <vt:variant>
        <vt:i4>2097202</vt:i4>
      </vt:variant>
      <vt:variant>
        <vt:i4>411</vt:i4>
      </vt:variant>
      <vt:variant>
        <vt:i4>0</vt:i4>
      </vt:variant>
      <vt:variant>
        <vt:i4>5</vt:i4>
      </vt:variant>
      <vt:variant>
        <vt:lpwstr>https://www.ncbi.nlm.nih.gov/pmc/articles/PMC4144270/</vt:lpwstr>
      </vt:variant>
      <vt:variant>
        <vt:lpwstr>R60</vt:lpwstr>
      </vt:variant>
      <vt:variant>
        <vt:i4>2293810</vt:i4>
      </vt:variant>
      <vt:variant>
        <vt:i4>408</vt:i4>
      </vt:variant>
      <vt:variant>
        <vt:i4>0</vt:i4>
      </vt:variant>
      <vt:variant>
        <vt:i4>5</vt:i4>
      </vt:variant>
      <vt:variant>
        <vt:lpwstr>https://www.ncbi.nlm.nih.gov/pmc/articles/PMC4144270/</vt:lpwstr>
      </vt:variant>
      <vt:variant>
        <vt:lpwstr>R59</vt:lpwstr>
      </vt:variant>
      <vt:variant>
        <vt:i4>2293810</vt:i4>
      </vt:variant>
      <vt:variant>
        <vt:i4>405</vt:i4>
      </vt:variant>
      <vt:variant>
        <vt:i4>0</vt:i4>
      </vt:variant>
      <vt:variant>
        <vt:i4>5</vt:i4>
      </vt:variant>
      <vt:variant>
        <vt:lpwstr>https://www.ncbi.nlm.nih.gov/pmc/articles/PMC4144270/</vt:lpwstr>
      </vt:variant>
      <vt:variant>
        <vt:lpwstr>R58</vt:lpwstr>
      </vt:variant>
      <vt:variant>
        <vt:i4>2293810</vt:i4>
      </vt:variant>
      <vt:variant>
        <vt:i4>402</vt:i4>
      </vt:variant>
      <vt:variant>
        <vt:i4>0</vt:i4>
      </vt:variant>
      <vt:variant>
        <vt:i4>5</vt:i4>
      </vt:variant>
      <vt:variant>
        <vt:lpwstr>https://www.ncbi.nlm.nih.gov/pmc/articles/PMC4144270/</vt:lpwstr>
      </vt:variant>
      <vt:variant>
        <vt:lpwstr>R58</vt:lpwstr>
      </vt:variant>
      <vt:variant>
        <vt:i4>2293810</vt:i4>
      </vt:variant>
      <vt:variant>
        <vt:i4>399</vt:i4>
      </vt:variant>
      <vt:variant>
        <vt:i4>0</vt:i4>
      </vt:variant>
      <vt:variant>
        <vt:i4>5</vt:i4>
      </vt:variant>
      <vt:variant>
        <vt:lpwstr>https://www.ncbi.nlm.nih.gov/pmc/articles/PMC4144270/</vt:lpwstr>
      </vt:variant>
      <vt:variant>
        <vt:lpwstr>R57</vt:lpwstr>
      </vt:variant>
      <vt:variant>
        <vt:i4>2293810</vt:i4>
      </vt:variant>
      <vt:variant>
        <vt:i4>396</vt:i4>
      </vt:variant>
      <vt:variant>
        <vt:i4>0</vt:i4>
      </vt:variant>
      <vt:variant>
        <vt:i4>5</vt:i4>
      </vt:variant>
      <vt:variant>
        <vt:lpwstr>https://www.ncbi.nlm.nih.gov/pmc/articles/PMC4144270/</vt:lpwstr>
      </vt:variant>
      <vt:variant>
        <vt:lpwstr>R56</vt:lpwstr>
      </vt:variant>
      <vt:variant>
        <vt:i4>2293810</vt:i4>
      </vt:variant>
      <vt:variant>
        <vt:i4>393</vt:i4>
      </vt:variant>
      <vt:variant>
        <vt:i4>0</vt:i4>
      </vt:variant>
      <vt:variant>
        <vt:i4>5</vt:i4>
      </vt:variant>
      <vt:variant>
        <vt:lpwstr>https://www.ncbi.nlm.nih.gov/pmc/articles/PMC4144270/</vt:lpwstr>
      </vt:variant>
      <vt:variant>
        <vt:lpwstr>R55</vt:lpwstr>
      </vt:variant>
      <vt:variant>
        <vt:i4>2293810</vt:i4>
      </vt:variant>
      <vt:variant>
        <vt:i4>390</vt:i4>
      </vt:variant>
      <vt:variant>
        <vt:i4>0</vt:i4>
      </vt:variant>
      <vt:variant>
        <vt:i4>5</vt:i4>
      </vt:variant>
      <vt:variant>
        <vt:lpwstr>https://www.ncbi.nlm.nih.gov/pmc/articles/PMC4144270/</vt:lpwstr>
      </vt:variant>
      <vt:variant>
        <vt:lpwstr>R54</vt:lpwstr>
      </vt:variant>
      <vt:variant>
        <vt:i4>2293810</vt:i4>
      </vt:variant>
      <vt:variant>
        <vt:i4>387</vt:i4>
      </vt:variant>
      <vt:variant>
        <vt:i4>0</vt:i4>
      </vt:variant>
      <vt:variant>
        <vt:i4>5</vt:i4>
      </vt:variant>
      <vt:variant>
        <vt:lpwstr>https://www.ncbi.nlm.nih.gov/pmc/articles/PMC4144270/</vt:lpwstr>
      </vt:variant>
      <vt:variant>
        <vt:lpwstr>R53</vt:lpwstr>
      </vt:variant>
      <vt:variant>
        <vt:i4>2293810</vt:i4>
      </vt:variant>
      <vt:variant>
        <vt:i4>384</vt:i4>
      </vt:variant>
      <vt:variant>
        <vt:i4>0</vt:i4>
      </vt:variant>
      <vt:variant>
        <vt:i4>5</vt:i4>
      </vt:variant>
      <vt:variant>
        <vt:lpwstr>https://www.ncbi.nlm.nih.gov/pmc/articles/PMC4144270/</vt:lpwstr>
      </vt:variant>
      <vt:variant>
        <vt:lpwstr>R52</vt:lpwstr>
      </vt:variant>
      <vt:variant>
        <vt:i4>2293810</vt:i4>
      </vt:variant>
      <vt:variant>
        <vt:i4>381</vt:i4>
      </vt:variant>
      <vt:variant>
        <vt:i4>0</vt:i4>
      </vt:variant>
      <vt:variant>
        <vt:i4>5</vt:i4>
      </vt:variant>
      <vt:variant>
        <vt:lpwstr>https://www.ncbi.nlm.nih.gov/pmc/articles/PMC4144270/</vt:lpwstr>
      </vt:variant>
      <vt:variant>
        <vt:lpwstr>R50</vt:lpwstr>
      </vt:variant>
      <vt:variant>
        <vt:i4>2228274</vt:i4>
      </vt:variant>
      <vt:variant>
        <vt:i4>378</vt:i4>
      </vt:variant>
      <vt:variant>
        <vt:i4>0</vt:i4>
      </vt:variant>
      <vt:variant>
        <vt:i4>5</vt:i4>
      </vt:variant>
      <vt:variant>
        <vt:lpwstr>https://www.ncbi.nlm.nih.gov/pmc/articles/PMC4144270/</vt:lpwstr>
      </vt:variant>
      <vt:variant>
        <vt:lpwstr>R41</vt:lpwstr>
      </vt:variant>
      <vt:variant>
        <vt:i4>2228274</vt:i4>
      </vt:variant>
      <vt:variant>
        <vt:i4>375</vt:i4>
      </vt:variant>
      <vt:variant>
        <vt:i4>0</vt:i4>
      </vt:variant>
      <vt:variant>
        <vt:i4>5</vt:i4>
      </vt:variant>
      <vt:variant>
        <vt:lpwstr>https://www.ncbi.nlm.nih.gov/pmc/articles/PMC4144270/</vt:lpwstr>
      </vt:variant>
      <vt:variant>
        <vt:lpwstr>R47</vt:lpwstr>
      </vt:variant>
      <vt:variant>
        <vt:i4>2228274</vt:i4>
      </vt:variant>
      <vt:variant>
        <vt:i4>372</vt:i4>
      </vt:variant>
      <vt:variant>
        <vt:i4>0</vt:i4>
      </vt:variant>
      <vt:variant>
        <vt:i4>5</vt:i4>
      </vt:variant>
      <vt:variant>
        <vt:lpwstr>https://www.ncbi.nlm.nih.gov/pmc/articles/PMC4144270/</vt:lpwstr>
      </vt:variant>
      <vt:variant>
        <vt:lpwstr>R40</vt:lpwstr>
      </vt:variant>
      <vt:variant>
        <vt:i4>2228274</vt:i4>
      </vt:variant>
      <vt:variant>
        <vt:i4>369</vt:i4>
      </vt:variant>
      <vt:variant>
        <vt:i4>0</vt:i4>
      </vt:variant>
      <vt:variant>
        <vt:i4>5</vt:i4>
      </vt:variant>
      <vt:variant>
        <vt:lpwstr>https://www.ncbi.nlm.nih.gov/pmc/articles/PMC4144270/</vt:lpwstr>
      </vt:variant>
      <vt:variant>
        <vt:lpwstr>R49</vt:lpwstr>
      </vt:variant>
      <vt:variant>
        <vt:i4>2228274</vt:i4>
      </vt:variant>
      <vt:variant>
        <vt:i4>366</vt:i4>
      </vt:variant>
      <vt:variant>
        <vt:i4>0</vt:i4>
      </vt:variant>
      <vt:variant>
        <vt:i4>5</vt:i4>
      </vt:variant>
      <vt:variant>
        <vt:lpwstr>https://www.ncbi.nlm.nih.gov/pmc/articles/PMC4144270/</vt:lpwstr>
      </vt:variant>
      <vt:variant>
        <vt:lpwstr>R48</vt:lpwstr>
      </vt:variant>
      <vt:variant>
        <vt:i4>2228274</vt:i4>
      </vt:variant>
      <vt:variant>
        <vt:i4>363</vt:i4>
      </vt:variant>
      <vt:variant>
        <vt:i4>0</vt:i4>
      </vt:variant>
      <vt:variant>
        <vt:i4>5</vt:i4>
      </vt:variant>
      <vt:variant>
        <vt:lpwstr>https://www.ncbi.nlm.nih.gov/pmc/articles/PMC4144270/</vt:lpwstr>
      </vt:variant>
      <vt:variant>
        <vt:lpwstr>R47</vt:lpwstr>
      </vt:variant>
      <vt:variant>
        <vt:i4>2293810</vt:i4>
      </vt:variant>
      <vt:variant>
        <vt:i4>360</vt:i4>
      </vt:variant>
      <vt:variant>
        <vt:i4>0</vt:i4>
      </vt:variant>
      <vt:variant>
        <vt:i4>5</vt:i4>
      </vt:variant>
      <vt:variant>
        <vt:lpwstr>https://www.ncbi.nlm.nih.gov/pmc/articles/PMC4144270/</vt:lpwstr>
      </vt:variant>
      <vt:variant>
        <vt:lpwstr>R5</vt:lpwstr>
      </vt:variant>
      <vt:variant>
        <vt:i4>2293810</vt:i4>
      </vt:variant>
      <vt:variant>
        <vt:i4>357</vt:i4>
      </vt:variant>
      <vt:variant>
        <vt:i4>0</vt:i4>
      </vt:variant>
      <vt:variant>
        <vt:i4>5</vt:i4>
      </vt:variant>
      <vt:variant>
        <vt:lpwstr>https://www.ncbi.nlm.nih.gov/pmc/articles/PMC4144270/</vt:lpwstr>
      </vt:variant>
      <vt:variant>
        <vt:lpwstr>R5</vt:lpwstr>
      </vt:variant>
      <vt:variant>
        <vt:i4>2228274</vt:i4>
      </vt:variant>
      <vt:variant>
        <vt:i4>354</vt:i4>
      </vt:variant>
      <vt:variant>
        <vt:i4>0</vt:i4>
      </vt:variant>
      <vt:variant>
        <vt:i4>5</vt:i4>
      </vt:variant>
      <vt:variant>
        <vt:lpwstr>https://www.ncbi.nlm.nih.gov/pmc/articles/PMC4144270/</vt:lpwstr>
      </vt:variant>
      <vt:variant>
        <vt:lpwstr>R46</vt:lpwstr>
      </vt:variant>
      <vt:variant>
        <vt:i4>2228274</vt:i4>
      </vt:variant>
      <vt:variant>
        <vt:i4>351</vt:i4>
      </vt:variant>
      <vt:variant>
        <vt:i4>0</vt:i4>
      </vt:variant>
      <vt:variant>
        <vt:i4>5</vt:i4>
      </vt:variant>
      <vt:variant>
        <vt:lpwstr>https://www.ncbi.nlm.nih.gov/pmc/articles/PMC4144270/</vt:lpwstr>
      </vt:variant>
      <vt:variant>
        <vt:lpwstr>R45</vt:lpwstr>
      </vt:variant>
      <vt:variant>
        <vt:i4>2228274</vt:i4>
      </vt:variant>
      <vt:variant>
        <vt:i4>348</vt:i4>
      </vt:variant>
      <vt:variant>
        <vt:i4>0</vt:i4>
      </vt:variant>
      <vt:variant>
        <vt:i4>5</vt:i4>
      </vt:variant>
      <vt:variant>
        <vt:lpwstr>https://www.ncbi.nlm.nih.gov/pmc/articles/PMC4144270/</vt:lpwstr>
      </vt:variant>
      <vt:variant>
        <vt:lpwstr>R44</vt:lpwstr>
      </vt:variant>
      <vt:variant>
        <vt:i4>2228274</vt:i4>
      </vt:variant>
      <vt:variant>
        <vt:i4>345</vt:i4>
      </vt:variant>
      <vt:variant>
        <vt:i4>0</vt:i4>
      </vt:variant>
      <vt:variant>
        <vt:i4>5</vt:i4>
      </vt:variant>
      <vt:variant>
        <vt:lpwstr>https://www.ncbi.nlm.nih.gov/pmc/articles/PMC4144270/</vt:lpwstr>
      </vt:variant>
      <vt:variant>
        <vt:lpwstr>R43</vt:lpwstr>
      </vt:variant>
      <vt:variant>
        <vt:i4>2228274</vt:i4>
      </vt:variant>
      <vt:variant>
        <vt:i4>342</vt:i4>
      </vt:variant>
      <vt:variant>
        <vt:i4>0</vt:i4>
      </vt:variant>
      <vt:variant>
        <vt:i4>5</vt:i4>
      </vt:variant>
      <vt:variant>
        <vt:lpwstr>https://www.ncbi.nlm.nih.gov/pmc/articles/PMC4144270/</vt:lpwstr>
      </vt:variant>
      <vt:variant>
        <vt:lpwstr>R42</vt:lpwstr>
      </vt:variant>
      <vt:variant>
        <vt:i4>2228274</vt:i4>
      </vt:variant>
      <vt:variant>
        <vt:i4>339</vt:i4>
      </vt:variant>
      <vt:variant>
        <vt:i4>0</vt:i4>
      </vt:variant>
      <vt:variant>
        <vt:i4>5</vt:i4>
      </vt:variant>
      <vt:variant>
        <vt:lpwstr>https://www.ncbi.nlm.nih.gov/pmc/articles/PMC4144270/</vt:lpwstr>
      </vt:variant>
      <vt:variant>
        <vt:lpwstr>R41</vt:lpwstr>
      </vt:variant>
      <vt:variant>
        <vt:i4>2424882</vt:i4>
      </vt:variant>
      <vt:variant>
        <vt:i4>336</vt:i4>
      </vt:variant>
      <vt:variant>
        <vt:i4>0</vt:i4>
      </vt:variant>
      <vt:variant>
        <vt:i4>5</vt:i4>
      </vt:variant>
      <vt:variant>
        <vt:lpwstr>https://www.ncbi.nlm.nih.gov/pmc/articles/PMC4144270/</vt:lpwstr>
      </vt:variant>
      <vt:variant>
        <vt:lpwstr>R39</vt:lpwstr>
      </vt:variant>
      <vt:variant>
        <vt:i4>2424882</vt:i4>
      </vt:variant>
      <vt:variant>
        <vt:i4>333</vt:i4>
      </vt:variant>
      <vt:variant>
        <vt:i4>0</vt:i4>
      </vt:variant>
      <vt:variant>
        <vt:i4>5</vt:i4>
      </vt:variant>
      <vt:variant>
        <vt:lpwstr>https://www.ncbi.nlm.nih.gov/pmc/articles/PMC4144270/</vt:lpwstr>
      </vt:variant>
      <vt:variant>
        <vt:lpwstr>R35</vt:lpwstr>
      </vt:variant>
      <vt:variant>
        <vt:i4>2424882</vt:i4>
      </vt:variant>
      <vt:variant>
        <vt:i4>330</vt:i4>
      </vt:variant>
      <vt:variant>
        <vt:i4>0</vt:i4>
      </vt:variant>
      <vt:variant>
        <vt:i4>5</vt:i4>
      </vt:variant>
      <vt:variant>
        <vt:lpwstr>https://www.ncbi.nlm.nih.gov/pmc/articles/PMC4144270/</vt:lpwstr>
      </vt:variant>
      <vt:variant>
        <vt:lpwstr>R33</vt:lpwstr>
      </vt:variant>
      <vt:variant>
        <vt:i4>2359346</vt:i4>
      </vt:variant>
      <vt:variant>
        <vt:i4>327</vt:i4>
      </vt:variant>
      <vt:variant>
        <vt:i4>0</vt:i4>
      </vt:variant>
      <vt:variant>
        <vt:i4>5</vt:i4>
      </vt:variant>
      <vt:variant>
        <vt:lpwstr>https://www.ncbi.nlm.nih.gov/pmc/articles/PMC4144270/</vt:lpwstr>
      </vt:variant>
      <vt:variant>
        <vt:lpwstr>R25</vt:lpwstr>
      </vt:variant>
      <vt:variant>
        <vt:i4>2228274</vt:i4>
      </vt:variant>
      <vt:variant>
        <vt:i4>324</vt:i4>
      </vt:variant>
      <vt:variant>
        <vt:i4>0</vt:i4>
      </vt:variant>
      <vt:variant>
        <vt:i4>5</vt:i4>
      </vt:variant>
      <vt:variant>
        <vt:lpwstr>https://www.ncbi.nlm.nih.gov/pmc/articles/PMC4144270/</vt:lpwstr>
      </vt:variant>
      <vt:variant>
        <vt:lpwstr>R41</vt:lpwstr>
      </vt:variant>
      <vt:variant>
        <vt:i4>2228274</vt:i4>
      </vt:variant>
      <vt:variant>
        <vt:i4>321</vt:i4>
      </vt:variant>
      <vt:variant>
        <vt:i4>0</vt:i4>
      </vt:variant>
      <vt:variant>
        <vt:i4>5</vt:i4>
      </vt:variant>
      <vt:variant>
        <vt:lpwstr>https://www.ncbi.nlm.nih.gov/pmc/articles/PMC4144270/</vt:lpwstr>
      </vt:variant>
      <vt:variant>
        <vt:lpwstr>R40</vt:lpwstr>
      </vt:variant>
      <vt:variant>
        <vt:i4>2424882</vt:i4>
      </vt:variant>
      <vt:variant>
        <vt:i4>318</vt:i4>
      </vt:variant>
      <vt:variant>
        <vt:i4>0</vt:i4>
      </vt:variant>
      <vt:variant>
        <vt:i4>5</vt:i4>
      </vt:variant>
      <vt:variant>
        <vt:lpwstr>https://www.ncbi.nlm.nih.gov/pmc/articles/PMC4144270/</vt:lpwstr>
      </vt:variant>
      <vt:variant>
        <vt:lpwstr>R39</vt:lpwstr>
      </vt:variant>
      <vt:variant>
        <vt:i4>2424882</vt:i4>
      </vt:variant>
      <vt:variant>
        <vt:i4>315</vt:i4>
      </vt:variant>
      <vt:variant>
        <vt:i4>0</vt:i4>
      </vt:variant>
      <vt:variant>
        <vt:i4>5</vt:i4>
      </vt:variant>
      <vt:variant>
        <vt:lpwstr>https://www.ncbi.nlm.nih.gov/pmc/articles/PMC4144270/</vt:lpwstr>
      </vt:variant>
      <vt:variant>
        <vt:lpwstr>R33</vt:lpwstr>
      </vt:variant>
      <vt:variant>
        <vt:i4>2424882</vt:i4>
      </vt:variant>
      <vt:variant>
        <vt:i4>312</vt:i4>
      </vt:variant>
      <vt:variant>
        <vt:i4>0</vt:i4>
      </vt:variant>
      <vt:variant>
        <vt:i4>5</vt:i4>
      </vt:variant>
      <vt:variant>
        <vt:lpwstr>https://www.ncbi.nlm.nih.gov/pmc/articles/PMC4144270/</vt:lpwstr>
      </vt:variant>
      <vt:variant>
        <vt:lpwstr>R39</vt:lpwstr>
      </vt:variant>
      <vt:variant>
        <vt:i4>2359346</vt:i4>
      </vt:variant>
      <vt:variant>
        <vt:i4>309</vt:i4>
      </vt:variant>
      <vt:variant>
        <vt:i4>0</vt:i4>
      </vt:variant>
      <vt:variant>
        <vt:i4>5</vt:i4>
      </vt:variant>
      <vt:variant>
        <vt:lpwstr>https://www.ncbi.nlm.nih.gov/pmc/articles/PMC4144270/</vt:lpwstr>
      </vt:variant>
      <vt:variant>
        <vt:lpwstr>R25</vt:lpwstr>
      </vt:variant>
      <vt:variant>
        <vt:i4>2424882</vt:i4>
      </vt:variant>
      <vt:variant>
        <vt:i4>306</vt:i4>
      </vt:variant>
      <vt:variant>
        <vt:i4>0</vt:i4>
      </vt:variant>
      <vt:variant>
        <vt:i4>5</vt:i4>
      </vt:variant>
      <vt:variant>
        <vt:lpwstr>https://www.ncbi.nlm.nih.gov/pmc/articles/PMC4144270/</vt:lpwstr>
      </vt:variant>
      <vt:variant>
        <vt:lpwstr>R38</vt:lpwstr>
      </vt:variant>
      <vt:variant>
        <vt:i4>2424882</vt:i4>
      </vt:variant>
      <vt:variant>
        <vt:i4>303</vt:i4>
      </vt:variant>
      <vt:variant>
        <vt:i4>0</vt:i4>
      </vt:variant>
      <vt:variant>
        <vt:i4>5</vt:i4>
      </vt:variant>
      <vt:variant>
        <vt:lpwstr>https://www.ncbi.nlm.nih.gov/pmc/articles/PMC4144270/</vt:lpwstr>
      </vt:variant>
      <vt:variant>
        <vt:lpwstr>R37</vt:lpwstr>
      </vt:variant>
      <vt:variant>
        <vt:i4>2424882</vt:i4>
      </vt:variant>
      <vt:variant>
        <vt:i4>300</vt:i4>
      </vt:variant>
      <vt:variant>
        <vt:i4>0</vt:i4>
      </vt:variant>
      <vt:variant>
        <vt:i4>5</vt:i4>
      </vt:variant>
      <vt:variant>
        <vt:lpwstr>https://www.ncbi.nlm.nih.gov/pmc/articles/PMC4144270/</vt:lpwstr>
      </vt:variant>
      <vt:variant>
        <vt:lpwstr>R34</vt:lpwstr>
      </vt:variant>
      <vt:variant>
        <vt:i4>2424882</vt:i4>
      </vt:variant>
      <vt:variant>
        <vt:i4>297</vt:i4>
      </vt:variant>
      <vt:variant>
        <vt:i4>0</vt:i4>
      </vt:variant>
      <vt:variant>
        <vt:i4>5</vt:i4>
      </vt:variant>
      <vt:variant>
        <vt:lpwstr>https://www.ncbi.nlm.nih.gov/pmc/articles/PMC4144270/</vt:lpwstr>
      </vt:variant>
      <vt:variant>
        <vt:lpwstr>R33</vt:lpwstr>
      </vt:variant>
      <vt:variant>
        <vt:i4>2359346</vt:i4>
      </vt:variant>
      <vt:variant>
        <vt:i4>294</vt:i4>
      </vt:variant>
      <vt:variant>
        <vt:i4>0</vt:i4>
      </vt:variant>
      <vt:variant>
        <vt:i4>5</vt:i4>
      </vt:variant>
      <vt:variant>
        <vt:lpwstr>https://www.ncbi.nlm.nih.gov/pmc/articles/PMC4144270/</vt:lpwstr>
      </vt:variant>
      <vt:variant>
        <vt:lpwstr>R24</vt:lpwstr>
      </vt:variant>
      <vt:variant>
        <vt:i4>2424882</vt:i4>
      </vt:variant>
      <vt:variant>
        <vt:i4>291</vt:i4>
      </vt:variant>
      <vt:variant>
        <vt:i4>0</vt:i4>
      </vt:variant>
      <vt:variant>
        <vt:i4>5</vt:i4>
      </vt:variant>
      <vt:variant>
        <vt:lpwstr>https://www.ncbi.nlm.nih.gov/pmc/articles/PMC4144270/</vt:lpwstr>
      </vt:variant>
      <vt:variant>
        <vt:lpwstr>R36</vt:lpwstr>
      </vt:variant>
      <vt:variant>
        <vt:i4>2424882</vt:i4>
      </vt:variant>
      <vt:variant>
        <vt:i4>288</vt:i4>
      </vt:variant>
      <vt:variant>
        <vt:i4>0</vt:i4>
      </vt:variant>
      <vt:variant>
        <vt:i4>5</vt:i4>
      </vt:variant>
      <vt:variant>
        <vt:lpwstr>https://www.ncbi.nlm.nih.gov/pmc/articles/PMC4144270/</vt:lpwstr>
      </vt:variant>
      <vt:variant>
        <vt:lpwstr>R35</vt:lpwstr>
      </vt:variant>
      <vt:variant>
        <vt:i4>2424882</vt:i4>
      </vt:variant>
      <vt:variant>
        <vt:i4>285</vt:i4>
      </vt:variant>
      <vt:variant>
        <vt:i4>0</vt:i4>
      </vt:variant>
      <vt:variant>
        <vt:i4>5</vt:i4>
      </vt:variant>
      <vt:variant>
        <vt:lpwstr>https://www.ncbi.nlm.nih.gov/pmc/articles/PMC4144270/</vt:lpwstr>
      </vt:variant>
      <vt:variant>
        <vt:lpwstr>R35</vt:lpwstr>
      </vt:variant>
      <vt:variant>
        <vt:i4>2424882</vt:i4>
      </vt:variant>
      <vt:variant>
        <vt:i4>282</vt:i4>
      </vt:variant>
      <vt:variant>
        <vt:i4>0</vt:i4>
      </vt:variant>
      <vt:variant>
        <vt:i4>5</vt:i4>
      </vt:variant>
      <vt:variant>
        <vt:lpwstr>https://www.ncbi.nlm.nih.gov/pmc/articles/PMC4144270/</vt:lpwstr>
      </vt:variant>
      <vt:variant>
        <vt:lpwstr>R34</vt:lpwstr>
      </vt:variant>
      <vt:variant>
        <vt:i4>2424882</vt:i4>
      </vt:variant>
      <vt:variant>
        <vt:i4>279</vt:i4>
      </vt:variant>
      <vt:variant>
        <vt:i4>0</vt:i4>
      </vt:variant>
      <vt:variant>
        <vt:i4>5</vt:i4>
      </vt:variant>
      <vt:variant>
        <vt:lpwstr>https://www.ncbi.nlm.nih.gov/pmc/articles/PMC4144270/</vt:lpwstr>
      </vt:variant>
      <vt:variant>
        <vt:lpwstr>R34</vt:lpwstr>
      </vt:variant>
      <vt:variant>
        <vt:i4>2424882</vt:i4>
      </vt:variant>
      <vt:variant>
        <vt:i4>276</vt:i4>
      </vt:variant>
      <vt:variant>
        <vt:i4>0</vt:i4>
      </vt:variant>
      <vt:variant>
        <vt:i4>5</vt:i4>
      </vt:variant>
      <vt:variant>
        <vt:lpwstr>https://www.ncbi.nlm.nih.gov/pmc/articles/PMC4144270/</vt:lpwstr>
      </vt:variant>
      <vt:variant>
        <vt:lpwstr>R33</vt:lpwstr>
      </vt:variant>
      <vt:variant>
        <vt:i4>2424882</vt:i4>
      </vt:variant>
      <vt:variant>
        <vt:i4>273</vt:i4>
      </vt:variant>
      <vt:variant>
        <vt:i4>0</vt:i4>
      </vt:variant>
      <vt:variant>
        <vt:i4>5</vt:i4>
      </vt:variant>
      <vt:variant>
        <vt:lpwstr>https://www.ncbi.nlm.nih.gov/pmc/articles/PMC4144270/</vt:lpwstr>
      </vt:variant>
      <vt:variant>
        <vt:lpwstr>R33</vt:lpwstr>
      </vt:variant>
      <vt:variant>
        <vt:i4>6094876</vt:i4>
      </vt:variant>
      <vt:variant>
        <vt:i4>267</vt:i4>
      </vt:variant>
      <vt:variant>
        <vt:i4>0</vt:i4>
      </vt:variant>
      <vt:variant>
        <vt:i4>5</vt:i4>
      </vt:variant>
      <vt:variant>
        <vt:lpwstr>https://en.wikipedia.org/wiki/Cancer</vt:lpwstr>
      </vt:variant>
      <vt:variant>
        <vt:lpwstr/>
      </vt:variant>
      <vt:variant>
        <vt:i4>6029340</vt:i4>
      </vt:variant>
      <vt:variant>
        <vt:i4>264</vt:i4>
      </vt:variant>
      <vt:variant>
        <vt:i4>0</vt:i4>
      </vt:variant>
      <vt:variant>
        <vt:i4>5</vt:i4>
      </vt:variant>
      <vt:variant>
        <vt:lpwstr>https://en.wikipedia.org/wiki/Hyperkeratosis</vt:lpwstr>
      </vt:variant>
      <vt:variant>
        <vt:lpwstr/>
      </vt:variant>
      <vt:variant>
        <vt:i4>3604593</vt:i4>
      </vt:variant>
      <vt:variant>
        <vt:i4>261</vt:i4>
      </vt:variant>
      <vt:variant>
        <vt:i4>0</vt:i4>
      </vt:variant>
      <vt:variant>
        <vt:i4>5</vt:i4>
      </vt:variant>
      <vt:variant>
        <vt:lpwstr>https://en.wikipedia.org/wiki/Hypopigmentation</vt:lpwstr>
      </vt:variant>
      <vt:variant>
        <vt:lpwstr/>
      </vt:variant>
      <vt:variant>
        <vt:i4>2162801</vt:i4>
      </vt:variant>
      <vt:variant>
        <vt:i4>258</vt:i4>
      </vt:variant>
      <vt:variant>
        <vt:i4>0</vt:i4>
      </vt:variant>
      <vt:variant>
        <vt:i4>5</vt:i4>
      </vt:variant>
      <vt:variant>
        <vt:lpwstr>https://en.wikipedia.org/wiki/Diabetes</vt:lpwstr>
      </vt:variant>
      <vt:variant>
        <vt:lpwstr/>
      </vt:variant>
      <vt:variant>
        <vt:i4>4653065</vt:i4>
      </vt:variant>
      <vt:variant>
        <vt:i4>255</vt:i4>
      </vt:variant>
      <vt:variant>
        <vt:i4>0</vt:i4>
      </vt:variant>
      <vt:variant>
        <vt:i4>5</vt:i4>
      </vt:variant>
      <vt:variant>
        <vt:lpwstr>https://en.wikipedia.org/wiki/Neuropathy</vt:lpwstr>
      </vt:variant>
      <vt:variant>
        <vt:lpwstr/>
      </vt:variant>
      <vt:variant>
        <vt:i4>458850</vt:i4>
      </vt:variant>
      <vt:variant>
        <vt:i4>252</vt:i4>
      </vt:variant>
      <vt:variant>
        <vt:i4>0</vt:i4>
      </vt:variant>
      <vt:variant>
        <vt:i4>5</vt:i4>
      </vt:variant>
      <vt:variant>
        <vt:lpwstr>https://en.wikipedia.org/wiki/Heart_arrhythmia</vt:lpwstr>
      </vt:variant>
      <vt:variant>
        <vt:lpwstr/>
      </vt:variant>
      <vt:variant>
        <vt:i4>1048692</vt:i4>
      </vt:variant>
      <vt:variant>
        <vt:i4>249</vt:i4>
      </vt:variant>
      <vt:variant>
        <vt:i4>0</vt:i4>
      </vt:variant>
      <vt:variant>
        <vt:i4>5</vt:i4>
      </vt:variant>
      <vt:variant>
        <vt:lpwstr>https://en.wikipedia.org/wiki/Arsenic_poisoning</vt:lpwstr>
      </vt:variant>
      <vt:variant>
        <vt:lpwstr/>
      </vt:variant>
      <vt:variant>
        <vt:i4>5701675</vt:i4>
      </vt:variant>
      <vt:variant>
        <vt:i4>246</vt:i4>
      </vt:variant>
      <vt:variant>
        <vt:i4>0</vt:i4>
      </vt:variant>
      <vt:variant>
        <vt:i4>5</vt:i4>
      </vt:variant>
      <vt:variant>
        <vt:lpwstr>https://en.wikipedia.org/wiki/Lung_cancer</vt:lpwstr>
      </vt:variant>
      <vt:variant>
        <vt:lpwstr/>
      </vt:variant>
      <vt:variant>
        <vt:i4>7143453</vt:i4>
      </vt:variant>
      <vt:variant>
        <vt:i4>243</vt:i4>
      </vt:variant>
      <vt:variant>
        <vt:i4>0</vt:i4>
      </vt:variant>
      <vt:variant>
        <vt:i4>5</vt:i4>
      </vt:variant>
      <vt:variant>
        <vt:lpwstr>https://en.wikipedia.org/wiki/Pulmonary_fibrosis</vt:lpwstr>
      </vt:variant>
      <vt:variant>
        <vt:lpwstr/>
      </vt:variant>
      <vt:variant>
        <vt:i4>4259855</vt:i4>
      </vt:variant>
      <vt:variant>
        <vt:i4>240</vt:i4>
      </vt:variant>
      <vt:variant>
        <vt:i4>0</vt:i4>
      </vt:variant>
      <vt:variant>
        <vt:i4>5</vt:i4>
      </vt:variant>
      <vt:variant>
        <vt:lpwstr>https://en.wikipedia.org/wiki/Acute_renal_failure</vt:lpwstr>
      </vt:variant>
      <vt:variant>
        <vt:lpwstr/>
      </vt:variant>
      <vt:variant>
        <vt:i4>3604590</vt:i4>
      </vt:variant>
      <vt:variant>
        <vt:i4>237</vt:i4>
      </vt:variant>
      <vt:variant>
        <vt:i4>0</vt:i4>
      </vt:variant>
      <vt:variant>
        <vt:i4>5</vt:i4>
      </vt:variant>
      <vt:variant>
        <vt:lpwstr>https://en.wikipedia.org/wiki/Hemolysis</vt:lpwstr>
      </vt:variant>
      <vt:variant>
        <vt:lpwstr/>
      </vt:variant>
      <vt:variant>
        <vt:i4>5374002</vt:i4>
      </vt:variant>
      <vt:variant>
        <vt:i4>234</vt:i4>
      </vt:variant>
      <vt:variant>
        <vt:i4>0</vt:i4>
      </vt:variant>
      <vt:variant>
        <vt:i4>5</vt:i4>
      </vt:variant>
      <vt:variant>
        <vt:lpwstr>https://en.wikipedia.org/wiki/Gastrointestinal_hemorrhage</vt:lpwstr>
      </vt:variant>
      <vt:variant>
        <vt:lpwstr/>
      </vt:variant>
      <vt:variant>
        <vt:i4>3473485</vt:i4>
      </vt:variant>
      <vt:variant>
        <vt:i4>231</vt:i4>
      </vt:variant>
      <vt:variant>
        <vt:i4>0</vt:i4>
      </vt:variant>
      <vt:variant>
        <vt:i4>5</vt:i4>
      </vt:variant>
      <vt:variant>
        <vt:lpwstr>https://en.wikipedia.org/wiki/Chromium_toxicity</vt:lpwstr>
      </vt:variant>
      <vt:variant>
        <vt:lpwstr/>
      </vt:variant>
      <vt:variant>
        <vt:i4>7405589</vt:i4>
      </vt:variant>
      <vt:variant>
        <vt:i4>228</vt:i4>
      </vt:variant>
      <vt:variant>
        <vt:i4>0</vt:i4>
      </vt:variant>
      <vt:variant>
        <vt:i4>5</vt:i4>
      </vt:variant>
      <vt:variant>
        <vt:lpwstr>https://en.wikipedia.org/wiki/Wrist_drop</vt:lpwstr>
      </vt:variant>
      <vt:variant>
        <vt:lpwstr/>
      </vt:variant>
      <vt:variant>
        <vt:i4>3997776</vt:i4>
      </vt:variant>
      <vt:variant>
        <vt:i4>225</vt:i4>
      </vt:variant>
      <vt:variant>
        <vt:i4>0</vt:i4>
      </vt:variant>
      <vt:variant>
        <vt:i4>5</vt:i4>
      </vt:variant>
      <vt:variant>
        <vt:lpwstr>https://en.wikipedia.org/wiki/Foot_drop</vt:lpwstr>
      </vt:variant>
      <vt:variant>
        <vt:lpwstr/>
      </vt:variant>
      <vt:variant>
        <vt:i4>5177369</vt:i4>
      </vt:variant>
      <vt:variant>
        <vt:i4>222</vt:i4>
      </vt:variant>
      <vt:variant>
        <vt:i4>0</vt:i4>
      </vt:variant>
      <vt:variant>
        <vt:i4>5</vt:i4>
      </vt:variant>
      <vt:variant>
        <vt:lpwstr>https://en.wikipedia.org/wiki/Anemia</vt:lpwstr>
      </vt:variant>
      <vt:variant>
        <vt:lpwstr/>
      </vt:variant>
      <vt:variant>
        <vt:i4>6225925</vt:i4>
      </vt:variant>
      <vt:variant>
        <vt:i4>219</vt:i4>
      </vt:variant>
      <vt:variant>
        <vt:i4>0</vt:i4>
      </vt:variant>
      <vt:variant>
        <vt:i4>5</vt:i4>
      </vt:variant>
      <vt:variant>
        <vt:lpwstr>https://en.wikipedia.org/wiki/Encephalopathy</vt:lpwstr>
      </vt:variant>
      <vt:variant>
        <vt:lpwstr/>
      </vt:variant>
      <vt:variant>
        <vt:i4>5505082</vt:i4>
      </vt:variant>
      <vt:variant>
        <vt:i4>216</vt:i4>
      </vt:variant>
      <vt:variant>
        <vt:i4>0</vt:i4>
      </vt:variant>
      <vt:variant>
        <vt:i4>5</vt:i4>
      </vt:variant>
      <vt:variant>
        <vt:lpwstr>https://en.wikipedia.org/wiki/Lead_poisoning</vt:lpwstr>
      </vt:variant>
      <vt:variant>
        <vt:lpwstr/>
      </vt:variant>
      <vt:variant>
        <vt:i4>4194314</vt:i4>
      </vt:variant>
      <vt:variant>
        <vt:i4>213</vt:i4>
      </vt:variant>
      <vt:variant>
        <vt:i4>0</vt:i4>
      </vt:variant>
      <vt:variant>
        <vt:i4>5</vt:i4>
      </vt:variant>
      <vt:variant>
        <vt:lpwstr>https://en.wikipedia.org/wiki/Tremor</vt:lpwstr>
      </vt:variant>
      <vt:variant>
        <vt:lpwstr/>
      </vt:variant>
      <vt:variant>
        <vt:i4>5111820</vt:i4>
      </vt:variant>
      <vt:variant>
        <vt:i4>210</vt:i4>
      </vt:variant>
      <vt:variant>
        <vt:i4>0</vt:i4>
      </vt:variant>
      <vt:variant>
        <vt:i4>5</vt:i4>
      </vt:variant>
      <vt:variant>
        <vt:lpwstr>https://en.wikipedia.org/wiki/Mercury_poisoning</vt:lpwstr>
      </vt:variant>
      <vt:variant>
        <vt:lpwstr>Infantile_acrodynia</vt:lpwstr>
      </vt:variant>
      <vt:variant>
        <vt:i4>5898253</vt:i4>
      </vt:variant>
      <vt:variant>
        <vt:i4>207</vt:i4>
      </vt:variant>
      <vt:variant>
        <vt:i4>0</vt:i4>
      </vt:variant>
      <vt:variant>
        <vt:i4>5</vt:i4>
      </vt:variant>
      <vt:variant>
        <vt:lpwstr>https://en.wikipedia.org/wiki/Parageusia</vt:lpwstr>
      </vt:variant>
      <vt:variant>
        <vt:lpwstr/>
      </vt:variant>
      <vt:variant>
        <vt:i4>3014774</vt:i4>
      </vt:variant>
      <vt:variant>
        <vt:i4>204</vt:i4>
      </vt:variant>
      <vt:variant>
        <vt:i4>0</vt:i4>
      </vt:variant>
      <vt:variant>
        <vt:i4>5</vt:i4>
      </vt:variant>
      <vt:variant>
        <vt:lpwstr>https://en.wikipedia.org/wiki/Neurasthenia</vt:lpwstr>
      </vt:variant>
      <vt:variant>
        <vt:lpwstr/>
      </vt:variant>
      <vt:variant>
        <vt:i4>7208973</vt:i4>
      </vt:variant>
      <vt:variant>
        <vt:i4>201</vt:i4>
      </vt:variant>
      <vt:variant>
        <vt:i4>0</vt:i4>
      </vt:variant>
      <vt:variant>
        <vt:i4>5</vt:i4>
      </vt:variant>
      <vt:variant>
        <vt:lpwstr>https://en.wikipedia.org/wiki/Nephrotic_syndrome</vt:lpwstr>
      </vt:variant>
      <vt:variant>
        <vt:lpwstr/>
      </vt:variant>
      <vt:variant>
        <vt:i4>6160394</vt:i4>
      </vt:variant>
      <vt:variant>
        <vt:i4>198</vt:i4>
      </vt:variant>
      <vt:variant>
        <vt:i4>0</vt:i4>
      </vt:variant>
      <vt:variant>
        <vt:i4>5</vt:i4>
      </vt:variant>
      <vt:variant>
        <vt:lpwstr>https://en.wikipedia.org/wiki/Nausea</vt:lpwstr>
      </vt:variant>
      <vt:variant>
        <vt:lpwstr/>
      </vt:variant>
      <vt:variant>
        <vt:i4>4653065</vt:i4>
      </vt:variant>
      <vt:variant>
        <vt:i4>195</vt:i4>
      </vt:variant>
      <vt:variant>
        <vt:i4>0</vt:i4>
      </vt:variant>
      <vt:variant>
        <vt:i4>5</vt:i4>
      </vt:variant>
      <vt:variant>
        <vt:lpwstr>https://en.wikipedia.org/wiki/Stomatitis</vt:lpwstr>
      </vt:variant>
      <vt:variant>
        <vt:lpwstr/>
      </vt:variant>
      <vt:variant>
        <vt:i4>2424949</vt:i4>
      </vt:variant>
      <vt:variant>
        <vt:i4>192</vt:i4>
      </vt:variant>
      <vt:variant>
        <vt:i4>0</vt:i4>
      </vt:variant>
      <vt:variant>
        <vt:i4>5</vt:i4>
      </vt:variant>
      <vt:variant>
        <vt:lpwstr>https://en.wikipedia.org/wiki/Vomiting</vt:lpwstr>
      </vt:variant>
      <vt:variant>
        <vt:lpwstr/>
      </vt:variant>
      <vt:variant>
        <vt:i4>2949220</vt:i4>
      </vt:variant>
      <vt:variant>
        <vt:i4>189</vt:i4>
      </vt:variant>
      <vt:variant>
        <vt:i4>0</vt:i4>
      </vt:variant>
      <vt:variant>
        <vt:i4>5</vt:i4>
      </vt:variant>
      <vt:variant>
        <vt:lpwstr>https://en.wikipedia.org/wiki/Fever</vt:lpwstr>
      </vt:variant>
      <vt:variant>
        <vt:lpwstr/>
      </vt:variant>
      <vt:variant>
        <vt:i4>4128870</vt:i4>
      </vt:variant>
      <vt:variant>
        <vt:i4>186</vt:i4>
      </vt:variant>
      <vt:variant>
        <vt:i4>0</vt:i4>
      </vt:variant>
      <vt:variant>
        <vt:i4>5</vt:i4>
      </vt:variant>
      <vt:variant>
        <vt:lpwstr>https://en.wikipedia.org/wiki/Diarrhea</vt:lpwstr>
      </vt:variant>
      <vt:variant>
        <vt:lpwstr/>
      </vt:variant>
      <vt:variant>
        <vt:i4>1704056</vt:i4>
      </vt:variant>
      <vt:variant>
        <vt:i4>183</vt:i4>
      </vt:variant>
      <vt:variant>
        <vt:i4>0</vt:i4>
      </vt:variant>
      <vt:variant>
        <vt:i4>5</vt:i4>
      </vt:variant>
      <vt:variant>
        <vt:lpwstr>https://en.wikipedia.org/wiki/Mercury_poisoning</vt:lpwstr>
      </vt:variant>
      <vt:variant>
        <vt:lpwstr/>
      </vt:variant>
      <vt:variant>
        <vt:i4>6160402</vt:i4>
      </vt:variant>
      <vt:variant>
        <vt:i4>180</vt:i4>
      </vt:variant>
      <vt:variant>
        <vt:i4>0</vt:i4>
      </vt:variant>
      <vt:variant>
        <vt:i4>5</vt:i4>
      </vt:variant>
      <vt:variant>
        <vt:lpwstr>https://en.wikipedia.org/wiki/Proteinuria</vt:lpwstr>
      </vt:variant>
      <vt:variant>
        <vt:lpwstr/>
      </vt:variant>
      <vt:variant>
        <vt:i4>3670121</vt:i4>
      </vt:variant>
      <vt:variant>
        <vt:i4>177</vt:i4>
      </vt:variant>
      <vt:variant>
        <vt:i4>0</vt:i4>
      </vt:variant>
      <vt:variant>
        <vt:i4>5</vt:i4>
      </vt:variant>
      <vt:variant>
        <vt:lpwstr>https://en.wikipedia.org/wiki/Osteomalacia</vt:lpwstr>
      </vt:variant>
      <vt:variant>
        <vt:lpwstr/>
      </vt:variant>
      <vt:variant>
        <vt:i4>5701675</vt:i4>
      </vt:variant>
      <vt:variant>
        <vt:i4>174</vt:i4>
      </vt:variant>
      <vt:variant>
        <vt:i4>0</vt:i4>
      </vt:variant>
      <vt:variant>
        <vt:i4>5</vt:i4>
      </vt:variant>
      <vt:variant>
        <vt:lpwstr>https://en.wikipedia.org/wiki/Lung_cancer</vt:lpwstr>
      </vt:variant>
      <vt:variant>
        <vt:lpwstr/>
      </vt:variant>
      <vt:variant>
        <vt:i4>5832726</vt:i4>
      </vt:variant>
      <vt:variant>
        <vt:i4>171</vt:i4>
      </vt:variant>
      <vt:variant>
        <vt:i4>0</vt:i4>
      </vt:variant>
      <vt:variant>
        <vt:i4>5</vt:i4>
      </vt:variant>
      <vt:variant>
        <vt:lpwstr>https://en.wikipedia.org/wiki/Pneumonitis</vt:lpwstr>
      </vt:variant>
      <vt:variant>
        <vt:lpwstr/>
      </vt:variant>
      <vt:variant>
        <vt:i4>1507432</vt:i4>
      </vt:variant>
      <vt:variant>
        <vt:i4>168</vt:i4>
      </vt:variant>
      <vt:variant>
        <vt:i4>0</vt:i4>
      </vt:variant>
      <vt:variant>
        <vt:i4>5</vt:i4>
      </vt:variant>
      <vt:variant>
        <vt:lpwstr>https://en.wikipedia.org/wiki/Cadmium_poisoning</vt:lpwstr>
      </vt:variant>
      <vt:variant>
        <vt:lpwstr/>
      </vt:variant>
      <vt:variant>
        <vt:i4>2424882</vt:i4>
      </vt:variant>
      <vt:variant>
        <vt:i4>165</vt:i4>
      </vt:variant>
      <vt:variant>
        <vt:i4>0</vt:i4>
      </vt:variant>
      <vt:variant>
        <vt:i4>5</vt:i4>
      </vt:variant>
      <vt:variant>
        <vt:lpwstr>https://www.ncbi.nlm.nih.gov/pmc/articles/PMC4144270/</vt:lpwstr>
      </vt:variant>
      <vt:variant>
        <vt:lpwstr>R32</vt:lpwstr>
      </vt:variant>
      <vt:variant>
        <vt:i4>2424882</vt:i4>
      </vt:variant>
      <vt:variant>
        <vt:i4>162</vt:i4>
      </vt:variant>
      <vt:variant>
        <vt:i4>0</vt:i4>
      </vt:variant>
      <vt:variant>
        <vt:i4>5</vt:i4>
      </vt:variant>
      <vt:variant>
        <vt:lpwstr>https://www.ncbi.nlm.nih.gov/pmc/articles/PMC4144270/</vt:lpwstr>
      </vt:variant>
      <vt:variant>
        <vt:lpwstr>R31</vt:lpwstr>
      </vt:variant>
      <vt:variant>
        <vt:i4>2424882</vt:i4>
      </vt:variant>
      <vt:variant>
        <vt:i4>159</vt:i4>
      </vt:variant>
      <vt:variant>
        <vt:i4>0</vt:i4>
      </vt:variant>
      <vt:variant>
        <vt:i4>5</vt:i4>
      </vt:variant>
      <vt:variant>
        <vt:lpwstr>https://www.ncbi.nlm.nih.gov/pmc/articles/PMC4144270/</vt:lpwstr>
      </vt:variant>
      <vt:variant>
        <vt:lpwstr>R30</vt:lpwstr>
      </vt:variant>
      <vt:variant>
        <vt:i4>2359346</vt:i4>
      </vt:variant>
      <vt:variant>
        <vt:i4>156</vt:i4>
      </vt:variant>
      <vt:variant>
        <vt:i4>0</vt:i4>
      </vt:variant>
      <vt:variant>
        <vt:i4>5</vt:i4>
      </vt:variant>
      <vt:variant>
        <vt:lpwstr>https://www.ncbi.nlm.nih.gov/pmc/articles/PMC4144270/</vt:lpwstr>
      </vt:variant>
      <vt:variant>
        <vt:lpwstr>R29</vt:lpwstr>
      </vt:variant>
      <vt:variant>
        <vt:i4>2359346</vt:i4>
      </vt:variant>
      <vt:variant>
        <vt:i4>153</vt:i4>
      </vt:variant>
      <vt:variant>
        <vt:i4>0</vt:i4>
      </vt:variant>
      <vt:variant>
        <vt:i4>5</vt:i4>
      </vt:variant>
      <vt:variant>
        <vt:lpwstr>https://www.ncbi.nlm.nih.gov/pmc/articles/PMC4144270/</vt:lpwstr>
      </vt:variant>
      <vt:variant>
        <vt:lpwstr>R28</vt:lpwstr>
      </vt:variant>
      <vt:variant>
        <vt:i4>2359346</vt:i4>
      </vt:variant>
      <vt:variant>
        <vt:i4>150</vt:i4>
      </vt:variant>
      <vt:variant>
        <vt:i4>0</vt:i4>
      </vt:variant>
      <vt:variant>
        <vt:i4>5</vt:i4>
      </vt:variant>
      <vt:variant>
        <vt:lpwstr>https://www.ncbi.nlm.nih.gov/pmc/articles/PMC4144270/</vt:lpwstr>
      </vt:variant>
      <vt:variant>
        <vt:lpwstr>R27</vt:lpwstr>
      </vt:variant>
      <vt:variant>
        <vt:i4>2359346</vt:i4>
      </vt:variant>
      <vt:variant>
        <vt:i4>147</vt:i4>
      </vt:variant>
      <vt:variant>
        <vt:i4>0</vt:i4>
      </vt:variant>
      <vt:variant>
        <vt:i4>5</vt:i4>
      </vt:variant>
      <vt:variant>
        <vt:lpwstr>https://www.ncbi.nlm.nih.gov/pmc/articles/PMC4144270/</vt:lpwstr>
      </vt:variant>
      <vt:variant>
        <vt:lpwstr>R26</vt:lpwstr>
      </vt:variant>
      <vt:variant>
        <vt:i4>2359346</vt:i4>
      </vt:variant>
      <vt:variant>
        <vt:i4>144</vt:i4>
      </vt:variant>
      <vt:variant>
        <vt:i4>0</vt:i4>
      </vt:variant>
      <vt:variant>
        <vt:i4>5</vt:i4>
      </vt:variant>
      <vt:variant>
        <vt:lpwstr>https://www.ncbi.nlm.nih.gov/pmc/articles/PMC4144270/</vt:lpwstr>
      </vt:variant>
      <vt:variant>
        <vt:lpwstr>R25</vt:lpwstr>
      </vt:variant>
      <vt:variant>
        <vt:i4>2359346</vt:i4>
      </vt:variant>
      <vt:variant>
        <vt:i4>141</vt:i4>
      </vt:variant>
      <vt:variant>
        <vt:i4>0</vt:i4>
      </vt:variant>
      <vt:variant>
        <vt:i4>5</vt:i4>
      </vt:variant>
      <vt:variant>
        <vt:lpwstr>https://www.ncbi.nlm.nih.gov/pmc/articles/PMC4144270/</vt:lpwstr>
      </vt:variant>
      <vt:variant>
        <vt:lpwstr>R24</vt:lpwstr>
      </vt:variant>
      <vt:variant>
        <vt:i4>2359346</vt:i4>
      </vt:variant>
      <vt:variant>
        <vt:i4>138</vt:i4>
      </vt:variant>
      <vt:variant>
        <vt:i4>0</vt:i4>
      </vt:variant>
      <vt:variant>
        <vt:i4>5</vt:i4>
      </vt:variant>
      <vt:variant>
        <vt:lpwstr>https://www.ncbi.nlm.nih.gov/pmc/articles/PMC4144270/</vt:lpwstr>
      </vt:variant>
      <vt:variant>
        <vt:lpwstr>R23</vt:lpwstr>
      </vt:variant>
      <vt:variant>
        <vt:i4>2359346</vt:i4>
      </vt:variant>
      <vt:variant>
        <vt:i4>135</vt:i4>
      </vt:variant>
      <vt:variant>
        <vt:i4>0</vt:i4>
      </vt:variant>
      <vt:variant>
        <vt:i4>5</vt:i4>
      </vt:variant>
      <vt:variant>
        <vt:lpwstr>https://www.ncbi.nlm.nih.gov/pmc/articles/PMC4144270/</vt:lpwstr>
      </vt:variant>
      <vt:variant>
        <vt:lpwstr>R22</vt:lpwstr>
      </vt:variant>
      <vt:variant>
        <vt:i4>2359346</vt:i4>
      </vt:variant>
      <vt:variant>
        <vt:i4>132</vt:i4>
      </vt:variant>
      <vt:variant>
        <vt:i4>0</vt:i4>
      </vt:variant>
      <vt:variant>
        <vt:i4>5</vt:i4>
      </vt:variant>
      <vt:variant>
        <vt:lpwstr>https://www.ncbi.nlm.nih.gov/pmc/articles/PMC4144270/</vt:lpwstr>
      </vt:variant>
      <vt:variant>
        <vt:lpwstr>R20</vt:lpwstr>
      </vt:variant>
      <vt:variant>
        <vt:i4>2359346</vt:i4>
      </vt:variant>
      <vt:variant>
        <vt:i4>129</vt:i4>
      </vt:variant>
      <vt:variant>
        <vt:i4>0</vt:i4>
      </vt:variant>
      <vt:variant>
        <vt:i4>5</vt:i4>
      </vt:variant>
      <vt:variant>
        <vt:lpwstr>https://www.ncbi.nlm.nih.gov/pmc/articles/PMC4144270/</vt:lpwstr>
      </vt:variant>
      <vt:variant>
        <vt:lpwstr>R21</vt:lpwstr>
      </vt:variant>
      <vt:variant>
        <vt:i4>2359346</vt:i4>
      </vt:variant>
      <vt:variant>
        <vt:i4>126</vt:i4>
      </vt:variant>
      <vt:variant>
        <vt:i4>0</vt:i4>
      </vt:variant>
      <vt:variant>
        <vt:i4>5</vt:i4>
      </vt:variant>
      <vt:variant>
        <vt:lpwstr>https://www.ncbi.nlm.nih.gov/pmc/articles/PMC4144270/</vt:lpwstr>
      </vt:variant>
      <vt:variant>
        <vt:lpwstr>R20</vt:lpwstr>
      </vt:variant>
      <vt:variant>
        <vt:i4>2359346</vt:i4>
      </vt:variant>
      <vt:variant>
        <vt:i4>123</vt:i4>
      </vt:variant>
      <vt:variant>
        <vt:i4>0</vt:i4>
      </vt:variant>
      <vt:variant>
        <vt:i4>5</vt:i4>
      </vt:variant>
      <vt:variant>
        <vt:lpwstr>https://www.ncbi.nlm.nih.gov/pmc/articles/PMC4144270/</vt:lpwstr>
      </vt:variant>
      <vt:variant>
        <vt:lpwstr>R20</vt:lpwstr>
      </vt:variant>
      <vt:variant>
        <vt:i4>2555954</vt:i4>
      </vt:variant>
      <vt:variant>
        <vt:i4>120</vt:i4>
      </vt:variant>
      <vt:variant>
        <vt:i4>0</vt:i4>
      </vt:variant>
      <vt:variant>
        <vt:i4>5</vt:i4>
      </vt:variant>
      <vt:variant>
        <vt:lpwstr>https://www.ncbi.nlm.nih.gov/pmc/articles/PMC4144270/</vt:lpwstr>
      </vt:variant>
      <vt:variant>
        <vt:lpwstr>R19</vt:lpwstr>
      </vt:variant>
      <vt:variant>
        <vt:i4>2555954</vt:i4>
      </vt:variant>
      <vt:variant>
        <vt:i4>117</vt:i4>
      </vt:variant>
      <vt:variant>
        <vt:i4>0</vt:i4>
      </vt:variant>
      <vt:variant>
        <vt:i4>5</vt:i4>
      </vt:variant>
      <vt:variant>
        <vt:lpwstr>https://www.ncbi.nlm.nih.gov/pmc/articles/PMC4144270/</vt:lpwstr>
      </vt:variant>
      <vt:variant>
        <vt:lpwstr>R19</vt:lpwstr>
      </vt:variant>
      <vt:variant>
        <vt:i4>2555954</vt:i4>
      </vt:variant>
      <vt:variant>
        <vt:i4>114</vt:i4>
      </vt:variant>
      <vt:variant>
        <vt:i4>0</vt:i4>
      </vt:variant>
      <vt:variant>
        <vt:i4>5</vt:i4>
      </vt:variant>
      <vt:variant>
        <vt:lpwstr>https://www.ncbi.nlm.nih.gov/pmc/articles/PMC4144270/</vt:lpwstr>
      </vt:variant>
      <vt:variant>
        <vt:lpwstr>R18</vt:lpwstr>
      </vt:variant>
      <vt:variant>
        <vt:i4>2555954</vt:i4>
      </vt:variant>
      <vt:variant>
        <vt:i4>111</vt:i4>
      </vt:variant>
      <vt:variant>
        <vt:i4>0</vt:i4>
      </vt:variant>
      <vt:variant>
        <vt:i4>5</vt:i4>
      </vt:variant>
      <vt:variant>
        <vt:lpwstr>https://www.ncbi.nlm.nih.gov/pmc/articles/PMC4144270/</vt:lpwstr>
      </vt:variant>
      <vt:variant>
        <vt:lpwstr>R19</vt:lpwstr>
      </vt:variant>
      <vt:variant>
        <vt:i4>2555954</vt:i4>
      </vt:variant>
      <vt:variant>
        <vt:i4>108</vt:i4>
      </vt:variant>
      <vt:variant>
        <vt:i4>0</vt:i4>
      </vt:variant>
      <vt:variant>
        <vt:i4>5</vt:i4>
      </vt:variant>
      <vt:variant>
        <vt:lpwstr>https://www.ncbi.nlm.nih.gov/pmc/articles/PMC4144270/</vt:lpwstr>
      </vt:variant>
      <vt:variant>
        <vt:lpwstr>R16</vt:lpwstr>
      </vt:variant>
      <vt:variant>
        <vt:i4>2555954</vt:i4>
      </vt:variant>
      <vt:variant>
        <vt:i4>105</vt:i4>
      </vt:variant>
      <vt:variant>
        <vt:i4>0</vt:i4>
      </vt:variant>
      <vt:variant>
        <vt:i4>5</vt:i4>
      </vt:variant>
      <vt:variant>
        <vt:lpwstr>https://www.ncbi.nlm.nih.gov/pmc/articles/PMC4144270/</vt:lpwstr>
      </vt:variant>
      <vt:variant>
        <vt:lpwstr>R18</vt:lpwstr>
      </vt:variant>
      <vt:variant>
        <vt:i4>2555954</vt:i4>
      </vt:variant>
      <vt:variant>
        <vt:i4>102</vt:i4>
      </vt:variant>
      <vt:variant>
        <vt:i4>0</vt:i4>
      </vt:variant>
      <vt:variant>
        <vt:i4>5</vt:i4>
      </vt:variant>
      <vt:variant>
        <vt:lpwstr>https://www.ncbi.nlm.nih.gov/pmc/articles/PMC4144270/</vt:lpwstr>
      </vt:variant>
      <vt:variant>
        <vt:lpwstr>R16</vt:lpwstr>
      </vt:variant>
      <vt:variant>
        <vt:i4>2555954</vt:i4>
      </vt:variant>
      <vt:variant>
        <vt:i4>99</vt:i4>
      </vt:variant>
      <vt:variant>
        <vt:i4>0</vt:i4>
      </vt:variant>
      <vt:variant>
        <vt:i4>5</vt:i4>
      </vt:variant>
      <vt:variant>
        <vt:lpwstr>https://www.ncbi.nlm.nih.gov/pmc/articles/PMC4144270/</vt:lpwstr>
      </vt:variant>
      <vt:variant>
        <vt:lpwstr>R18</vt:lpwstr>
      </vt:variant>
      <vt:variant>
        <vt:i4>2555954</vt:i4>
      </vt:variant>
      <vt:variant>
        <vt:i4>96</vt:i4>
      </vt:variant>
      <vt:variant>
        <vt:i4>0</vt:i4>
      </vt:variant>
      <vt:variant>
        <vt:i4>5</vt:i4>
      </vt:variant>
      <vt:variant>
        <vt:lpwstr>https://www.ncbi.nlm.nih.gov/pmc/articles/PMC4144270/</vt:lpwstr>
      </vt:variant>
      <vt:variant>
        <vt:lpwstr>R16</vt:lpwstr>
      </vt:variant>
      <vt:variant>
        <vt:i4>2555954</vt:i4>
      </vt:variant>
      <vt:variant>
        <vt:i4>93</vt:i4>
      </vt:variant>
      <vt:variant>
        <vt:i4>0</vt:i4>
      </vt:variant>
      <vt:variant>
        <vt:i4>5</vt:i4>
      </vt:variant>
      <vt:variant>
        <vt:lpwstr>https://www.ncbi.nlm.nih.gov/pmc/articles/PMC4144270/</vt:lpwstr>
      </vt:variant>
      <vt:variant>
        <vt:lpwstr>R12</vt:lpwstr>
      </vt:variant>
      <vt:variant>
        <vt:i4>2555954</vt:i4>
      </vt:variant>
      <vt:variant>
        <vt:i4>90</vt:i4>
      </vt:variant>
      <vt:variant>
        <vt:i4>0</vt:i4>
      </vt:variant>
      <vt:variant>
        <vt:i4>5</vt:i4>
      </vt:variant>
      <vt:variant>
        <vt:lpwstr>https://www.ncbi.nlm.nih.gov/pmc/articles/PMC4144270/</vt:lpwstr>
      </vt:variant>
      <vt:variant>
        <vt:lpwstr>R15</vt:lpwstr>
      </vt:variant>
      <vt:variant>
        <vt:i4>2555954</vt:i4>
      </vt:variant>
      <vt:variant>
        <vt:i4>87</vt:i4>
      </vt:variant>
      <vt:variant>
        <vt:i4>0</vt:i4>
      </vt:variant>
      <vt:variant>
        <vt:i4>5</vt:i4>
      </vt:variant>
      <vt:variant>
        <vt:lpwstr>https://www.ncbi.nlm.nih.gov/pmc/articles/PMC4144270/</vt:lpwstr>
      </vt:variant>
      <vt:variant>
        <vt:lpwstr>R14</vt:lpwstr>
      </vt:variant>
      <vt:variant>
        <vt:i4>2555954</vt:i4>
      </vt:variant>
      <vt:variant>
        <vt:i4>84</vt:i4>
      </vt:variant>
      <vt:variant>
        <vt:i4>0</vt:i4>
      </vt:variant>
      <vt:variant>
        <vt:i4>5</vt:i4>
      </vt:variant>
      <vt:variant>
        <vt:lpwstr>https://www.ncbi.nlm.nih.gov/pmc/articles/PMC4144270/</vt:lpwstr>
      </vt:variant>
      <vt:variant>
        <vt:lpwstr>R13</vt:lpwstr>
      </vt:variant>
      <vt:variant>
        <vt:i4>2555954</vt:i4>
      </vt:variant>
      <vt:variant>
        <vt:i4>81</vt:i4>
      </vt:variant>
      <vt:variant>
        <vt:i4>0</vt:i4>
      </vt:variant>
      <vt:variant>
        <vt:i4>5</vt:i4>
      </vt:variant>
      <vt:variant>
        <vt:lpwstr>https://www.ncbi.nlm.nih.gov/pmc/articles/PMC4144270/</vt:lpwstr>
      </vt:variant>
      <vt:variant>
        <vt:lpwstr>R12</vt:lpwstr>
      </vt:variant>
      <vt:variant>
        <vt:i4>2555954</vt:i4>
      </vt:variant>
      <vt:variant>
        <vt:i4>78</vt:i4>
      </vt:variant>
      <vt:variant>
        <vt:i4>0</vt:i4>
      </vt:variant>
      <vt:variant>
        <vt:i4>5</vt:i4>
      </vt:variant>
      <vt:variant>
        <vt:lpwstr>https://www.ncbi.nlm.nih.gov/pmc/articles/PMC4144270/</vt:lpwstr>
      </vt:variant>
      <vt:variant>
        <vt:lpwstr>R12</vt:lpwstr>
      </vt:variant>
      <vt:variant>
        <vt:i4>2555954</vt:i4>
      </vt:variant>
      <vt:variant>
        <vt:i4>75</vt:i4>
      </vt:variant>
      <vt:variant>
        <vt:i4>0</vt:i4>
      </vt:variant>
      <vt:variant>
        <vt:i4>5</vt:i4>
      </vt:variant>
      <vt:variant>
        <vt:lpwstr>https://www.ncbi.nlm.nih.gov/pmc/articles/PMC4144270/</vt:lpwstr>
      </vt:variant>
      <vt:variant>
        <vt:lpwstr>R11</vt:lpwstr>
      </vt:variant>
      <vt:variant>
        <vt:i4>3080242</vt:i4>
      </vt:variant>
      <vt:variant>
        <vt:i4>72</vt:i4>
      </vt:variant>
      <vt:variant>
        <vt:i4>0</vt:i4>
      </vt:variant>
      <vt:variant>
        <vt:i4>5</vt:i4>
      </vt:variant>
      <vt:variant>
        <vt:lpwstr>https://www.ncbi.nlm.nih.gov/pmc/articles/PMC4144270/</vt:lpwstr>
      </vt:variant>
      <vt:variant>
        <vt:lpwstr>R9</vt:lpwstr>
      </vt:variant>
      <vt:variant>
        <vt:i4>3014706</vt:i4>
      </vt:variant>
      <vt:variant>
        <vt:i4>69</vt:i4>
      </vt:variant>
      <vt:variant>
        <vt:i4>0</vt:i4>
      </vt:variant>
      <vt:variant>
        <vt:i4>5</vt:i4>
      </vt:variant>
      <vt:variant>
        <vt:lpwstr>https://www.ncbi.nlm.nih.gov/pmc/articles/PMC4144270/</vt:lpwstr>
      </vt:variant>
      <vt:variant>
        <vt:lpwstr>R8</vt:lpwstr>
      </vt:variant>
      <vt:variant>
        <vt:i4>2162738</vt:i4>
      </vt:variant>
      <vt:variant>
        <vt:i4>66</vt:i4>
      </vt:variant>
      <vt:variant>
        <vt:i4>0</vt:i4>
      </vt:variant>
      <vt:variant>
        <vt:i4>5</vt:i4>
      </vt:variant>
      <vt:variant>
        <vt:lpwstr>https://www.ncbi.nlm.nih.gov/pmc/articles/PMC4144270/</vt:lpwstr>
      </vt:variant>
      <vt:variant>
        <vt:lpwstr>R7</vt:lpwstr>
      </vt:variant>
      <vt:variant>
        <vt:i4>2228274</vt:i4>
      </vt:variant>
      <vt:variant>
        <vt:i4>63</vt:i4>
      </vt:variant>
      <vt:variant>
        <vt:i4>0</vt:i4>
      </vt:variant>
      <vt:variant>
        <vt:i4>5</vt:i4>
      </vt:variant>
      <vt:variant>
        <vt:lpwstr>https://www.ncbi.nlm.nih.gov/pmc/articles/PMC4144270/</vt:lpwstr>
      </vt:variant>
      <vt:variant>
        <vt:lpwstr>R4</vt:lpwstr>
      </vt:variant>
      <vt:variant>
        <vt:i4>2424882</vt:i4>
      </vt:variant>
      <vt:variant>
        <vt:i4>60</vt:i4>
      </vt:variant>
      <vt:variant>
        <vt:i4>0</vt:i4>
      </vt:variant>
      <vt:variant>
        <vt:i4>5</vt:i4>
      </vt:variant>
      <vt:variant>
        <vt:lpwstr>https://www.ncbi.nlm.nih.gov/pmc/articles/PMC4144270/</vt:lpwstr>
      </vt:variant>
      <vt:variant>
        <vt:lpwstr>R3</vt:lpwstr>
      </vt:variant>
      <vt:variant>
        <vt:i4>2555954</vt:i4>
      </vt:variant>
      <vt:variant>
        <vt:i4>57</vt:i4>
      </vt:variant>
      <vt:variant>
        <vt:i4>0</vt:i4>
      </vt:variant>
      <vt:variant>
        <vt:i4>5</vt:i4>
      </vt:variant>
      <vt:variant>
        <vt:lpwstr>https://www.ncbi.nlm.nih.gov/pmc/articles/PMC4144270/</vt:lpwstr>
      </vt:variant>
      <vt:variant>
        <vt:lpwstr>R1</vt:lpwstr>
      </vt:variant>
      <vt:variant>
        <vt:i4>3014706</vt:i4>
      </vt:variant>
      <vt:variant>
        <vt:i4>54</vt:i4>
      </vt:variant>
      <vt:variant>
        <vt:i4>0</vt:i4>
      </vt:variant>
      <vt:variant>
        <vt:i4>5</vt:i4>
      </vt:variant>
      <vt:variant>
        <vt:lpwstr>https://www.ncbi.nlm.nih.gov/pmc/articles/PMC4144270/</vt:lpwstr>
      </vt:variant>
      <vt:variant>
        <vt:lpwstr>R8</vt:lpwstr>
      </vt:variant>
      <vt:variant>
        <vt:i4>2162738</vt:i4>
      </vt:variant>
      <vt:variant>
        <vt:i4>51</vt:i4>
      </vt:variant>
      <vt:variant>
        <vt:i4>0</vt:i4>
      </vt:variant>
      <vt:variant>
        <vt:i4>5</vt:i4>
      </vt:variant>
      <vt:variant>
        <vt:lpwstr>https://www.ncbi.nlm.nih.gov/pmc/articles/PMC4144270/</vt:lpwstr>
      </vt:variant>
      <vt:variant>
        <vt:lpwstr>R7</vt:lpwstr>
      </vt:variant>
      <vt:variant>
        <vt:i4>2228274</vt:i4>
      </vt:variant>
      <vt:variant>
        <vt:i4>48</vt:i4>
      </vt:variant>
      <vt:variant>
        <vt:i4>0</vt:i4>
      </vt:variant>
      <vt:variant>
        <vt:i4>5</vt:i4>
      </vt:variant>
      <vt:variant>
        <vt:lpwstr>https://www.ncbi.nlm.nih.gov/pmc/articles/PMC4144270/</vt:lpwstr>
      </vt:variant>
      <vt:variant>
        <vt:lpwstr>R4</vt:lpwstr>
      </vt:variant>
      <vt:variant>
        <vt:i4>2228274</vt:i4>
      </vt:variant>
      <vt:variant>
        <vt:i4>45</vt:i4>
      </vt:variant>
      <vt:variant>
        <vt:i4>0</vt:i4>
      </vt:variant>
      <vt:variant>
        <vt:i4>5</vt:i4>
      </vt:variant>
      <vt:variant>
        <vt:lpwstr>https://www.ncbi.nlm.nih.gov/pmc/articles/PMC4144270/</vt:lpwstr>
      </vt:variant>
      <vt:variant>
        <vt:lpwstr>R4</vt:lpwstr>
      </vt:variant>
      <vt:variant>
        <vt:i4>2424882</vt:i4>
      </vt:variant>
      <vt:variant>
        <vt:i4>42</vt:i4>
      </vt:variant>
      <vt:variant>
        <vt:i4>0</vt:i4>
      </vt:variant>
      <vt:variant>
        <vt:i4>5</vt:i4>
      </vt:variant>
      <vt:variant>
        <vt:lpwstr>https://www.ncbi.nlm.nih.gov/pmc/articles/PMC4144270/</vt:lpwstr>
      </vt:variant>
      <vt:variant>
        <vt:lpwstr>R3</vt:lpwstr>
      </vt:variant>
      <vt:variant>
        <vt:i4>2555954</vt:i4>
      </vt:variant>
      <vt:variant>
        <vt:i4>39</vt:i4>
      </vt:variant>
      <vt:variant>
        <vt:i4>0</vt:i4>
      </vt:variant>
      <vt:variant>
        <vt:i4>5</vt:i4>
      </vt:variant>
      <vt:variant>
        <vt:lpwstr>https://www.ncbi.nlm.nih.gov/pmc/articles/PMC4144270/</vt:lpwstr>
      </vt:variant>
      <vt:variant>
        <vt:lpwstr>R1</vt:lpwstr>
      </vt:variant>
      <vt:variant>
        <vt:i4>2228274</vt:i4>
      </vt:variant>
      <vt:variant>
        <vt:i4>36</vt:i4>
      </vt:variant>
      <vt:variant>
        <vt:i4>0</vt:i4>
      </vt:variant>
      <vt:variant>
        <vt:i4>5</vt:i4>
      </vt:variant>
      <vt:variant>
        <vt:lpwstr>https://www.ncbi.nlm.nih.gov/pmc/articles/PMC4144270/</vt:lpwstr>
      </vt:variant>
      <vt:variant>
        <vt:lpwstr>R4</vt:lpwstr>
      </vt:variant>
      <vt:variant>
        <vt:i4>2424882</vt:i4>
      </vt:variant>
      <vt:variant>
        <vt:i4>33</vt:i4>
      </vt:variant>
      <vt:variant>
        <vt:i4>0</vt:i4>
      </vt:variant>
      <vt:variant>
        <vt:i4>5</vt:i4>
      </vt:variant>
      <vt:variant>
        <vt:lpwstr>https://www.ncbi.nlm.nih.gov/pmc/articles/PMC4144270/</vt:lpwstr>
      </vt:variant>
      <vt:variant>
        <vt:lpwstr>R3</vt:lpwstr>
      </vt:variant>
      <vt:variant>
        <vt:i4>2359346</vt:i4>
      </vt:variant>
      <vt:variant>
        <vt:i4>30</vt:i4>
      </vt:variant>
      <vt:variant>
        <vt:i4>0</vt:i4>
      </vt:variant>
      <vt:variant>
        <vt:i4>5</vt:i4>
      </vt:variant>
      <vt:variant>
        <vt:lpwstr>https://www.ncbi.nlm.nih.gov/pmc/articles/PMC4144270/</vt:lpwstr>
      </vt:variant>
      <vt:variant>
        <vt:lpwstr>R2</vt:lpwstr>
      </vt:variant>
      <vt:variant>
        <vt:i4>2555954</vt:i4>
      </vt:variant>
      <vt:variant>
        <vt:i4>27</vt:i4>
      </vt:variant>
      <vt:variant>
        <vt:i4>0</vt:i4>
      </vt:variant>
      <vt:variant>
        <vt:i4>5</vt:i4>
      </vt:variant>
      <vt:variant>
        <vt:lpwstr>https://www.ncbi.nlm.nih.gov/pmc/articles/PMC4144270/</vt:lpwstr>
      </vt:variant>
      <vt:variant>
        <vt:lpwstr>R1</vt:lpwstr>
      </vt:variant>
      <vt:variant>
        <vt:i4>4784202</vt:i4>
      </vt:variant>
      <vt:variant>
        <vt:i4>24</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21</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18</vt:i4>
      </vt:variant>
      <vt:variant>
        <vt:i4>0</vt:i4>
      </vt:variant>
      <vt:variant>
        <vt:i4>5</vt:i4>
      </vt:variant>
      <vt:variant>
        <vt:lpwstr>http://www.linguee.ru/%D0%B0%D0%BD%D0%B3%D0%BB%D0%B8%D0%B9%D1%81%D0%BA%D0%B8%D0%B9-%D1%80%D1%83%D1%81%D1%81%D0%BA%D0%B8%D0%B9/%D0%BF%D0%B5%D1%80%D0%B5%D0%B2%D0%BE%D0%B4/training.html</vt:lpwstr>
      </vt:variant>
      <vt:variant>
        <vt:lpwstr/>
      </vt:variant>
      <vt:variant>
        <vt:i4>4784202</vt:i4>
      </vt:variant>
      <vt:variant>
        <vt:i4>15</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12</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9</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6</vt:i4>
      </vt:variant>
      <vt:variant>
        <vt:i4>0</vt:i4>
      </vt:variant>
      <vt:variant>
        <vt:i4>5</vt:i4>
      </vt:variant>
      <vt:variant>
        <vt:lpwstr>http://www.linguee.ru/%D0%B0%D0%BD%D0%B3%D0%BB%D0%B8%D0%B9%D1%81%D0%BA%D0%B8%D0%B9-%D1%80%D1%83%D1%81%D1%81%D0%BA%D0%B8%D0%B9/%D0%BF%D0%B5%D1%80%D0%B5%D0%B2%D0%BE%D0%B4/training.html</vt:lpwstr>
      </vt:variant>
      <vt:variant>
        <vt:lpwstr/>
      </vt:variant>
      <vt:variant>
        <vt:i4>4784202</vt:i4>
      </vt:variant>
      <vt:variant>
        <vt:i4>3</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0</vt:i4>
      </vt:variant>
      <vt:variant>
        <vt:i4>0</vt:i4>
      </vt:variant>
      <vt:variant>
        <vt:i4>5</vt:i4>
      </vt:variant>
      <vt:variant>
        <vt:lpwstr>http://www.linguee.ru/%D0%B0%D0%BD%D0%B3%D0%BB%D0%B8%D0%B9%D1%81%D0%BA%D0%B8%D0%B9-%D1%80%D1%83%D1%81%D1%81%D0%BA%D0%B8%D0%B9/%D0%BF%D0%B5%D1%80%D0%B5%D0%B2%D0%BE%D0%B4/training.html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creator>User</dc:creator>
  <cp:lastModifiedBy>Admin</cp:lastModifiedBy>
  <cp:revision>10</cp:revision>
  <cp:lastPrinted>2019-10-06T16:49:00Z</cp:lastPrinted>
  <dcterms:created xsi:type="dcterms:W3CDTF">2022-12-25T16:20:00Z</dcterms:created>
  <dcterms:modified xsi:type="dcterms:W3CDTF">2023-01-04T17:51:00Z</dcterms:modified>
</cp:coreProperties>
</file>